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764F7" w14:textId="72AA7A11" w:rsidR="00843BA0" w:rsidRPr="00DF3846" w:rsidRDefault="00FA4165" w:rsidP="00843BA0">
      <w:pPr>
        <w:pStyle w:val="Header"/>
        <w:spacing w:line="276" w:lineRule="auto"/>
        <w:rPr>
          <w:rFonts w:ascii="NikoshBAN" w:hAnsi="NikoshBAN" w:cs="NikoshB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EC7F5" wp14:editId="733384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1994"/>
                <wp:lineTo x="0" y="18609"/>
                <wp:lineTo x="5982" y="21268"/>
                <wp:lineTo x="15286" y="21268"/>
                <wp:lineTo x="21268" y="17280"/>
                <wp:lineTo x="21268" y="1994"/>
                <wp:lineTo x="13292" y="0"/>
                <wp:lineTo x="86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FA487" w14:textId="77777777" w:rsidR="00FA4165" w:rsidRDefault="00843BA0" w:rsidP="00843BA0">
      <w:pPr>
        <w:spacing w:after="0" w:line="240" w:lineRule="auto"/>
        <w:ind w:left="2880"/>
        <w:rPr>
          <w:rFonts w:ascii="NikoshBAN" w:hAnsi="NikoshBAN" w:cs="NikoshBAN"/>
          <w:b/>
          <w:sz w:val="24"/>
          <w:szCs w:val="24"/>
        </w:rPr>
      </w:pPr>
      <w:r w:rsidRPr="00DF3846">
        <w:rPr>
          <w:rFonts w:ascii="NikoshBAN" w:hAnsi="NikoshBAN" w:cs="NikoshBAN"/>
          <w:b/>
          <w:sz w:val="24"/>
          <w:szCs w:val="24"/>
        </w:rPr>
        <w:t xml:space="preserve">      </w:t>
      </w:r>
    </w:p>
    <w:p w14:paraId="4D9C1C3E" w14:textId="77777777" w:rsidR="00FA4165" w:rsidRDefault="00FA4165" w:rsidP="00843BA0">
      <w:pPr>
        <w:spacing w:after="0" w:line="240" w:lineRule="auto"/>
        <w:ind w:left="2880"/>
        <w:rPr>
          <w:rFonts w:ascii="NikoshBAN" w:hAnsi="NikoshBAN" w:cs="NikoshBAN"/>
          <w:b/>
          <w:sz w:val="24"/>
          <w:szCs w:val="24"/>
        </w:rPr>
      </w:pPr>
    </w:p>
    <w:p w14:paraId="5159BED5" w14:textId="0EF0D501" w:rsidR="00FA4165" w:rsidRDefault="00FA4165" w:rsidP="00843BA0">
      <w:pPr>
        <w:spacing w:after="0" w:line="240" w:lineRule="auto"/>
        <w:ind w:left="288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</w:rPr>
        <w:t xml:space="preserve">   </w:t>
      </w:r>
    </w:p>
    <w:p w14:paraId="50092162" w14:textId="1B2C952E" w:rsidR="00843BA0" w:rsidRPr="00FA4165" w:rsidRDefault="00FA4165" w:rsidP="00843BA0">
      <w:pPr>
        <w:spacing w:after="0" w:line="240" w:lineRule="auto"/>
        <w:ind w:left="2880"/>
        <w:rPr>
          <w:rFonts w:ascii="NikoshBAN" w:hAnsi="NikoshBAN" w:cs="NikoshBAN"/>
          <w:b/>
          <w:sz w:val="36"/>
          <w:szCs w:val="36"/>
        </w:rPr>
      </w:pPr>
      <w:r w:rsidRPr="00FA4165">
        <w:rPr>
          <w:rFonts w:ascii="NikoshBAN" w:hAnsi="NikoshBAN" w:cs="NikoshBAN"/>
          <w:b/>
          <w:sz w:val="36"/>
          <w:szCs w:val="36"/>
        </w:rPr>
        <w:t xml:space="preserve">  </w:t>
      </w:r>
      <w:proofErr w:type="spellStart"/>
      <w:r w:rsidR="00843BA0" w:rsidRPr="00FA4165">
        <w:rPr>
          <w:rFonts w:ascii="NikoshBAN" w:hAnsi="NikoshBAN" w:cs="NikoshBAN"/>
          <w:b/>
          <w:sz w:val="36"/>
          <w:szCs w:val="36"/>
        </w:rPr>
        <w:t>জাতীয়</w:t>
      </w:r>
      <w:proofErr w:type="spellEnd"/>
      <w:r w:rsidR="00843BA0" w:rsidRPr="00FA4165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843BA0" w:rsidRPr="00FA4165">
        <w:rPr>
          <w:rFonts w:ascii="NikoshBAN" w:hAnsi="NikoshBAN" w:cs="NikoshBAN"/>
          <w:b/>
          <w:sz w:val="36"/>
          <w:szCs w:val="36"/>
        </w:rPr>
        <w:t>মানবাধিকার</w:t>
      </w:r>
      <w:proofErr w:type="spellEnd"/>
      <w:r w:rsidR="00843BA0" w:rsidRPr="00FA4165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843BA0" w:rsidRPr="00FA4165">
        <w:rPr>
          <w:rFonts w:ascii="NikoshBAN" w:hAnsi="NikoshBAN" w:cs="NikoshBAN"/>
          <w:b/>
          <w:sz w:val="36"/>
          <w:szCs w:val="36"/>
        </w:rPr>
        <w:t>কমিশন</w:t>
      </w:r>
      <w:proofErr w:type="spellEnd"/>
    </w:p>
    <w:p w14:paraId="09529BA6" w14:textId="77777777" w:rsidR="00843BA0" w:rsidRPr="00DF3846" w:rsidRDefault="00843BA0" w:rsidP="00843BA0">
      <w:pPr>
        <w:spacing w:after="0" w:line="240" w:lineRule="auto"/>
        <w:jc w:val="center"/>
        <w:rPr>
          <w:rFonts w:ascii="SutonnyMJ" w:hAnsi="SutonnyMJ" w:cs="Times New Roman"/>
          <w:sz w:val="24"/>
          <w:szCs w:val="24"/>
        </w:rPr>
      </w:pPr>
      <w:r w:rsidRPr="00DF3846">
        <w:rPr>
          <w:rFonts w:ascii="SutonnyMJ" w:hAnsi="SutonnyMJ" w:cs="Times New Roman"/>
          <w:sz w:val="24"/>
          <w:szCs w:val="24"/>
        </w:rPr>
        <w:t>(</w:t>
      </w:r>
      <w:r w:rsidRPr="00DF3846">
        <w:rPr>
          <w:rFonts w:ascii="NikoshBAN" w:hAnsi="NikoshBAN" w:cs="NikoshBAN"/>
          <w:sz w:val="24"/>
          <w:szCs w:val="24"/>
        </w:rPr>
        <w:t xml:space="preserve">২০০৯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সালের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আইন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দ্বারা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প্রতিষ্ঠিত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একটি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সংবিধিবদ্ধ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স্বাধীন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রাষ্ট্রীয়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প্রতিষ্ঠান</w:t>
      </w:r>
      <w:proofErr w:type="spellEnd"/>
      <w:r w:rsidRPr="00DF3846">
        <w:rPr>
          <w:rFonts w:ascii="SutonnyMJ" w:hAnsi="SutonnyMJ" w:cs="Times New Roman"/>
          <w:sz w:val="24"/>
          <w:szCs w:val="24"/>
        </w:rPr>
        <w:t>)</w:t>
      </w:r>
    </w:p>
    <w:p w14:paraId="4129EA20" w14:textId="77777777" w:rsidR="00843BA0" w:rsidRPr="00DF3846" w:rsidRDefault="00843BA0" w:rsidP="00843BA0">
      <w:pPr>
        <w:spacing w:after="0" w:line="240" w:lineRule="auto"/>
        <w:ind w:left="720"/>
        <w:jc w:val="center"/>
        <w:rPr>
          <w:rFonts w:ascii="NikoshBAN" w:hAnsi="NikoshBAN" w:cs="NikoshBAN"/>
          <w:sz w:val="24"/>
          <w:szCs w:val="24"/>
        </w:rPr>
      </w:pPr>
      <w:r w:rsidRPr="00DF3846">
        <w:rPr>
          <w:rFonts w:ascii="NikoshBAN" w:hAnsi="NikoshBAN" w:cs="NikoshBAN"/>
          <w:sz w:val="24"/>
          <w:szCs w:val="24"/>
          <w:cs/>
          <w:lang w:bidi="bn-IN"/>
        </w:rPr>
        <w:t>বিটিএমসি ভবন (৯ম তলা), ৭-৯ কারওয়ান বাজার,</w:t>
      </w:r>
      <w:r w:rsidRPr="00DF3846">
        <w:rPr>
          <w:rFonts w:ascii="NikoshBAN" w:hAnsi="NikoshBAN" w:cs="NikoshBAN"/>
          <w:sz w:val="24"/>
          <w:szCs w:val="24"/>
        </w:rPr>
        <w:t xml:space="preserve"> ঢাকা-১২১৫</w:t>
      </w:r>
    </w:p>
    <w:p w14:paraId="000797A9" w14:textId="77777777" w:rsidR="00843BA0" w:rsidRPr="00DF3846" w:rsidRDefault="00843BA0" w:rsidP="00843BA0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proofErr w:type="spellStart"/>
      <w:r w:rsidRPr="00DF3846">
        <w:rPr>
          <w:rFonts w:ascii="NikoshBAN" w:hAnsi="NikoshBAN" w:cs="NikoshBAN"/>
          <w:sz w:val="24"/>
          <w:szCs w:val="24"/>
        </w:rPr>
        <w:t>ইমেইলঃ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 </w:t>
      </w:r>
      <w:hyperlink r:id="rId5" w:history="1">
        <w:r w:rsidRPr="00E9539F">
          <w:rPr>
            <w:rStyle w:val="Hyperlink"/>
            <w:rFonts w:ascii="NikoshBAN" w:hAnsi="NikoshBAN" w:cs="NikoshBAN"/>
            <w:lang w:bidi="bn-IN"/>
          </w:rPr>
          <w:t>info@nhrc.org</w:t>
        </w:r>
        <w:r w:rsidRPr="00E9539F">
          <w:rPr>
            <w:rStyle w:val="Hyperlink"/>
            <w:rFonts w:ascii="NikoshBAN" w:hAnsi="NikoshBAN" w:cs="NikoshBAN"/>
          </w:rPr>
          <w:t>.bd</w:t>
        </w:r>
      </w:hyperlink>
      <w:r w:rsidRPr="00E9539F">
        <w:rPr>
          <w:rFonts w:ascii="NikoshBAN" w:hAnsi="NikoshBAN" w:cs="NikoshBAN"/>
          <w:color w:val="0000FF"/>
          <w:u w:val="single"/>
        </w:rPr>
        <w:t>;</w:t>
      </w:r>
      <w:r w:rsidRPr="00DF3846">
        <w:rPr>
          <w:rFonts w:ascii="NikoshBAN" w:hAnsi="NikoshBAN" w:cs="NikoshBAN"/>
          <w:color w:val="0000FF"/>
          <w:sz w:val="24"/>
          <w:szCs w:val="24"/>
          <w:u w:val="single"/>
        </w:rPr>
        <w:t xml:space="preserve"> </w:t>
      </w:r>
      <w:r w:rsidRPr="00DF3846">
        <w:rPr>
          <w:rFonts w:ascii="NikoshBAN" w:hAnsi="NikoshBAN" w:cs="NikoshBAN"/>
          <w:sz w:val="24"/>
          <w:szCs w:val="24"/>
          <w:cs/>
          <w:lang w:bidi="bn-IN"/>
        </w:rPr>
        <w:t>হেল্পলাইনঃ</w:t>
      </w:r>
      <w:r w:rsidRPr="00DF3846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DF3846">
        <w:rPr>
          <w:rFonts w:ascii="NikoshBAN" w:hAnsi="NikoshBAN" w:cs="NikoshBAN"/>
          <w:sz w:val="24"/>
          <w:szCs w:val="24"/>
          <w:cs/>
          <w:lang w:bidi="bn-IN"/>
        </w:rPr>
        <w:t>১৬১০৮</w:t>
      </w:r>
    </w:p>
    <w:p w14:paraId="3E51CD31" w14:textId="77777777" w:rsidR="00843BA0" w:rsidRPr="00DF3846" w:rsidRDefault="00843BA0" w:rsidP="00843BA0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14:paraId="63399D61" w14:textId="69EB43F8" w:rsidR="00843BA0" w:rsidRPr="00DF3846" w:rsidRDefault="00843BA0" w:rsidP="00843BA0">
      <w:pPr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</w:pPr>
      <w:proofErr w:type="spellStart"/>
      <w:r w:rsidRPr="00DF3846">
        <w:rPr>
          <w:rFonts w:ascii="NikoshBAN" w:hAnsi="NikoshBAN" w:cs="NikoshBAN"/>
          <w:sz w:val="24"/>
          <w:szCs w:val="24"/>
        </w:rPr>
        <w:t>স্মারকঃ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r w:rsidRPr="00DF3846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প্রেস</w:t>
      </w:r>
      <w:proofErr w:type="spellEnd"/>
      <w:r w:rsidRPr="00DF384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DF3846">
        <w:rPr>
          <w:rFonts w:ascii="NikoshBAN" w:hAnsi="NikoshBAN" w:cs="NikoshBAN"/>
          <w:sz w:val="24"/>
          <w:szCs w:val="24"/>
        </w:rPr>
        <w:t>বিজ্ঞ</w:t>
      </w:r>
      <w:proofErr w:type="spellEnd"/>
      <w:r w:rsidRPr="00DF3846">
        <w:rPr>
          <w:rFonts w:ascii="NikoshBAN" w:hAnsi="NikoshBAN" w:cs="NikoshBAN"/>
          <w:sz w:val="24"/>
          <w:szCs w:val="24"/>
        </w:rPr>
        <w:t>-</w:t>
      </w:r>
      <w:r w:rsidRPr="00DF3846">
        <w:rPr>
          <w:rFonts w:ascii="NikoshBAN" w:hAnsi="NikoshBAN" w:cs="NikoshBAN"/>
          <w:sz w:val="24"/>
          <w:szCs w:val="24"/>
          <w:cs/>
          <w:lang w:bidi="bn-IN"/>
        </w:rPr>
        <w:t>২৩৯/১৩-১২</w:t>
      </w:r>
      <w:r w:rsidR="00FA4165">
        <w:rPr>
          <w:rFonts w:ascii="NikoshBAN" w:hAnsi="NikoshBAN" w:cs="NikoshBAN" w:hint="cs"/>
          <w:sz w:val="24"/>
          <w:szCs w:val="24"/>
          <w:cs/>
          <w:lang w:bidi="bn-IN"/>
        </w:rPr>
        <w:t>৬</w:t>
      </w:r>
      <w:r w:rsidRPr="00DF3846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Pr="00DF3846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                                          </w:t>
      </w:r>
      <w:r w:rsidRPr="00DF3846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</w:t>
      </w:r>
      <w:r w:rsidR="005C792F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</w:t>
      </w:r>
      <w:r w:rsidRPr="00DF3846">
        <w:rPr>
          <w:rFonts w:ascii="NikoshBAN" w:hAnsi="NikoshBAN" w:cs="NikoshBAN" w:hint="cs"/>
          <w:sz w:val="24"/>
          <w:szCs w:val="24"/>
          <w:cs/>
          <w:lang w:bidi="bn-IN"/>
        </w:rPr>
        <w:t xml:space="preserve"> তারিখঃ</w:t>
      </w:r>
      <w:r w:rsidRPr="00DF3846">
        <w:rPr>
          <w:rFonts w:ascii="NikoshBAN" w:hAnsi="NikoshBAN" w:cs="NikoshBAN"/>
          <w:sz w:val="24"/>
          <w:szCs w:val="24"/>
        </w:rPr>
        <w:t xml:space="preserve"> </w:t>
      </w:r>
      <w:r w:rsidR="00FA4165">
        <w:rPr>
          <w:rFonts w:ascii="NikoshBAN" w:hAnsi="NikoshBAN" w:cs="NikoshBAN"/>
          <w:sz w:val="24"/>
          <w:szCs w:val="24"/>
          <w:lang w:bidi="bn-IN"/>
        </w:rPr>
        <w:t>০৪</w:t>
      </w:r>
      <w:r w:rsidRPr="00DF3846">
        <w:rPr>
          <w:rFonts w:ascii="NikoshBAN" w:hAnsi="NikoshBAN" w:cs="NikoshBAN"/>
          <w:sz w:val="24"/>
          <w:szCs w:val="24"/>
          <w:lang w:bidi="bn-IN"/>
        </w:rPr>
        <w:t>.0</w:t>
      </w:r>
      <w:r w:rsidR="00FA4165">
        <w:rPr>
          <w:rFonts w:ascii="NikoshBAN" w:hAnsi="NikoshBAN" w:cs="NikoshBAN"/>
          <w:sz w:val="24"/>
          <w:szCs w:val="24"/>
          <w:lang w:bidi="bn-IN"/>
        </w:rPr>
        <w:t>৬</w:t>
      </w:r>
      <w:r w:rsidRPr="00DF3846">
        <w:rPr>
          <w:rFonts w:ascii="NikoshBAN" w:hAnsi="NikoshBAN" w:cs="NikoshBAN"/>
          <w:sz w:val="24"/>
          <w:szCs w:val="24"/>
          <w:lang w:bidi="bn-IN"/>
        </w:rPr>
        <w:t>.2022</w:t>
      </w:r>
    </w:p>
    <w:p w14:paraId="723DA424" w14:textId="4E507FEA" w:rsidR="00246F92" w:rsidRPr="00246F92" w:rsidRDefault="00246F92" w:rsidP="00FA41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proofErr w:type="spellStart"/>
      <w:r w:rsidRPr="00246F92">
        <w:rPr>
          <w:rFonts w:ascii="NikoshBAN" w:eastAsia="Times New Roman" w:hAnsi="NikoshBAN" w:cs="NikoshBAN"/>
          <w:b/>
          <w:bCs/>
          <w:color w:val="222222"/>
          <w:sz w:val="32"/>
          <w:szCs w:val="32"/>
          <w:u w:val="single"/>
        </w:rPr>
        <w:t>প্রেস</w:t>
      </w:r>
      <w:proofErr w:type="spellEnd"/>
      <w:r w:rsidRPr="00246F92">
        <w:rPr>
          <w:rFonts w:ascii="NikoshBAN" w:eastAsia="Times New Roman" w:hAnsi="NikoshBAN" w:cs="NikoshBAN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b/>
          <w:bCs/>
          <w:color w:val="222222"/>
          <w:sz w:val="32"/>
          <w:szCs w:val="32"/>
          <w:u w:val="single"/>
        </w:rPr>
        <w:t>বিজ্ঞপ্তিঃ</w:t>
      </w:r>
      <w:proofErr w:type="spellEnd"/>
    </w:p>
    <w:p w14:paraId="41CEFFF3" w14:textId="77777777" w:rsidR="00246F92" w:rsidRPr="00246F92" w:rsidRDefault="00246F92" w:rsidP="00FA4165">
      <w:pPr>
        <w:shd w:val="clear" w:color="auto" w:fill="FFFFFF"/>
        <w:spacing w:after="0" w:line="276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“</w:t>
      </w:r>
      <w:proofErr w:type="spellStart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জাতিসংঘ</w:t>
      </w:r>
      <w:proofErr w:type="spellEnd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প্রণীত</w:t>
      </w:r>
      <w:proofErr w:type="spellEnd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 </w:t>
      </w:r>
      <w:r w:rsidRPr="00246F92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246F92">
        <w:rPr>
          <w:rFonts w:ascii="Times New Roman" w:eastAsia="Times New Roman" w:hAnsi="Times New Roman" w:cs="Times New Roman"/>
          <w:color w:val="222222"/>
          <w:sz w:val="24"/>
          <w:szCs w:val="24"/>
        </w:rPr>
        <w:t>Handbook on National Human Rights Plans of Action’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আলোকে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বাংলাদেশের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 </w:t>
      </w:r>
      <w:proofErr w:type="spellStart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সুরক্ষা</w:t>
      </w:r>
      <w:proofErr w:type="spellEnd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 xml:space="preserve">, </w:t>
      </w:r>
      <w:proofErr w:type="spellStart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উন্নয়ন</w:t>
      </w:r>
      <w:proofErr w:type="spellEnd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 xml:space="preserve"> ও </w:t>
      </w:r>
      <w:proofErr w:type="spellStart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সচেতনতা</w:t>
      </w:r>
      <w:proofErr w:type="spellEnd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বৃদ্ধিকরণে</w:t>
      </w:r>
      <w:proofErr w:type="spellEnd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 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খুব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শীঘ্রই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বিষয়ক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কর্মপরিকল্পনা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প্রণয়ন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হবে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  <w:cs/>
          <w:lang w:bidi="hi-IN"/>
        </w:rPr>
        <w:t xml:space="preserve">। </w:t>
      </w:r>
      <w:r w:rsidRPr="00246F9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পাশাপাশি</w:t>
      </w:r>
      <w:r w:rsidRPr="00246F9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, </w:t>
      </w:r>
      <w:r w:rsidRPr="00246F9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কমিশনের সুপারিশসমূহ বাস্তবায়নে সকল মন্ত্রণালয়/ বিভাগকে আন্তরিকভাবে কাজ করতে হবে।</w:t>
      </w:r>
      <w:r w:rsidRPr="00246F92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 </w:t>
      </w:r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”- ০৪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জুন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২০২২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তারিখ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সকাল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১১.০০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ঘটিকায়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বঙ্গবন্ধু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আন্তর্জাতিক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সম্মেলন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কেন্দ্রে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জাতীয়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কমিশন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আয়োজিত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সরকারের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সচিবগণের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সাথে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বিষয়ক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মতবিনিময়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সভায়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প্রধান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অতিথির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বক্তব্যে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একথা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বলেন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মন্ত্রিপরিষদ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সচিব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খন্দকার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আনোয়ারুল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ইসলাম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সভায়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বিভিন্ন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মন্ত্রণালয়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/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বিভাগের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সিনিয়র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সচিব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সচিব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অতিরিক্ত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সচিবগণ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উপস্থিত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ছিলেন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সভায়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সভাপতিত্ব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করেন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জাতীয়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কমিশনের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চেয়ারম্যান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নাছিমা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বেগম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এনডিসি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  <w:r w:rsidRPr="00246F92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বক্তব্য রাখেন কমিশনের সার্বক্ষণিক সদস্য ড</w:t>
      </w:r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.</w:t>
      </w:r>
      <w:r w:rsidRPr="00246F92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> </w:t>
      </w:r>
      <w:r w:rsidRPr="00246F92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IN"/>
        </w:rPr>
        <w:t>কামাল উদ্দিন আহমেদ</w:t>
      </w:r>
      <w:r w:rsidRPr="00246F92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 xml:space="preserve">, </w:t>
      </w:r>
      <w:r w:rsidRPr="00246F92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IN"/>
        </w:rPr>
        <w:t>সদস্য জেসমিন আরা বেগম</w:t>
      </w:r>
      <w:r w:rsidRPr="00246F92">
        <w:rPr>
          <w:rFonts w:ascii="NikoshBAN" w:eastAsia="Times New Roman" w:hAnsi="NikoshBAN" w:cs="NikoshBAN" w:hint="cs"/>
          <w:color w:val="000000"/>
          <w:sz w:val="24"/>
          <w:szCs w:val="24"/>
          <w:lang w:bidi="bn-IN"/>
        </w:rPr>
        <w:t xml:space="preserve">, </w:t>
      </w:r>
      <w:r w:rsidRPr="00246F92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IN"/>
        </w:rPr>
        <w:t>সরকারের সচিবগণ।</w:t>
      </w:r>
    </w:p>
    <w:p w14:paraId="3D3DE552" w14:textId="77777777" w:rsidR="00246F92" w:rsidRPr="00246F92" w:rsidRDefault="00246F92" w:rsidP="00FA4165">
      <w:pPr>
        <w:shd w:val="clear" w:color="auto" w:fill="FFFFFF"/>
        <w:spacing w:after="0" w:line="276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নাছিমা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বেগম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এনডিসি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বলেন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, “</w:t>
      </w:r>
      <w:proofErr w:type="spellStart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জাতীয়</w:t>
      </w:r>
      <w:proofErr w:type="spellEnd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কমিশ</w:t>
      </w:r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নের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উদ্যোগে</w:t>
      </w:r>
      <w:proofErr w:type="spellEnd"/>
      <w:r w:rsidRPr="00246F92">
        <w:rPr>
          <w:rFonts w:ascii="NikoshBAN" w:eastAsia="Times New Roman" w:hAnsi="NikoshBAN" w:cs="NikoshBAN"/>
          <w:color w:val="000000"/>
          <w:sz w:val="24"/>
          <w:szCs w:val="24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বাংলাদেশের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 </w:t>
      </w:r>
      <w:proofErr w:type="spellStart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সুরক্ষা</w:t>
      </w:r>
      <w:proofErr w:type="spellEnd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 xml:space="preserve">, </w:t>
      </w:r>
      <w:proofErr w:type="spellStart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>উন্নয়ন</w:t>
      </w:r>
      <w:proofErr w:type="spellEnd"/>
      <w:r w:rsidRPr="00246F92">
        <w:rPr>
          <w:rFonts w:ascii="NikoshBAN" w:eastAsia="Times New Roman" w:hAnsi="NikoshBAN" w:cs="NikoshBAN" w:hint="cs"/>
          <w:color w:val="000000"/>
          <w:sz w:val="24"/>
          <w:szCs w:val="24"/>
        </w:rPr>
        <w:t xml:space="preserve"> ও </w:t>
      </w:r>
      <w:proofErr w:type="spellStart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সচেতনতা</w:t>
      </w:r>
      <w:proofErr w:type="spellEnd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বৃদ্ধিকরণে</w:t>
      </w:r>
      <w:proofErr w:type="spellEnd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জাতীয়</w:t>
      </w:r>
      <w:proofErr w:type="spellEnd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কর্মপরিকল্পনা</w:t>
      </w:r>
      <w:proofErr w:type="spellEnd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প্রণয়ন</w:t>
      </w:r>
      <w:proofErr w:type="spellEnd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করা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হবে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। </w:t>
      </w:r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 xml:space="preserve">এ </w:t>
      </w:r>
      <w:proofErr w:type="spellStart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কর্মপরিকল্পনা</w:t>
      </w:r>
      <w:proofErr w:type="spellEnd"/>
      <w:r w:rsidRPr="00246F92">
        <w:rPr>
          <w:rFonts w:ascii="NikoshBAN" w:eastAsia="Times New Roman" w:hAnsi="NikoshBAN" w:cs="NikoshBAN" w:hint="cs"/>
          <w:color w:val="222222"/>
          <w:sz w:val="24"/>
          <w:szCs w:val="24"/>
        </w:rPr>
        <w:t> 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IN"/>
        </w:rPr>
        <w:t>বাস্তবায়নের মাধ্যমে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lang w:bidi="bn-IN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সামগ্রিকভাবে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বাংলাদেশে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 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BD"/>
        </w:rPr>
        <w:t>সংস্কৃতি প্রতিষ্ঠা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lang w:bidi="bn-BD"/>
        </w:rPr>
        <w:t xml:space="preserve">, 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BD"/>
        </w:rPr>
        <w:t>মানবাধিকার লঙ্ঘন প্রতিরোধ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lang w:bidi="bn-BD"/>
        </w:rPr>
        <w:t xml:space="preserve">, 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BD"/>
        </w:rPr>
        <w:t>সুরক্ষা ও উন্নয়ন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lang w:bidi="bn-IN"/>
        </w:rPr>
        <w:t> 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IN"/>
        </w:rPr>
        <w:t>এবং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lang w:bidi="bn-IN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জনমানুষের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অধিকার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নিশ্চিত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হবে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  <w:lang w:bidi="bn-IN"/>
        </w:rPr>
        <w:t> 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IN"/>
        </w:rPr>
        <w:t>বলে প্রত্যাশা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lang w:bidi="bn-IN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”।  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IN"/>
        </w:rPr>
        <w:t>পাশাপাশি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, </w:t>
      </w:r>
      <w:r w:rsidRPr="00246F92">
        <w:rPr>
          <w:rFonts w:ascii="Times New Roman" w:eastAsia="Times New Roman" w:hAnsi="Times New Roman" w:cs="Times New Roman"/>
          <w:color w:val="222222"/>
          <w:sz w:val="24"/>
          <w:szCs w:val="24"/>
        </w:rPr>
        <w:t>United Nations Guiding Principles on Business and Human Rights- 2011 </w:t>
      </w:r>
      <w:r w:rsidRPr="00246F92">
        <w:rPr>
          <w:rFonts w:ascii="Times New Roman" w:eastAsia="Times New Roman" w:hAnsi="Times New Roman" w:cs="Vrinda"/>
          <w:color w:val="222222"/>
          <w:sz w:val="24"/>
          <w:szCs w:val="24"/>
          <w:cs/>
          <w:lang w:bidi="bn-IN"/>
        </w:rPr>
        <w:t>(</w:t>
      </w:r>
      <w:r w:rsidRPr="00246F92">
        <w:rPr>
          <w:rFonts w:ascii="Times New Roman" w:eastAsia="Times New Roman" w:hAnsi="Times New Roman" w:cs="Times New Roman"/>
          <w:color w:val="222222"/>
          <w:sz w:val="24"/>
          <w:szCs w:val="24"/>
        </w:rPr>
        <w:t>UNGPs)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 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IN"/>
        </w:rPr>
        <w:t>আলোকে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 ‘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ব্যবসা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ও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’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বিষয়ক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জাতীয়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কর্মপরিকল্পনা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 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IN"/>
        </w:rPr>
        <w:t>প্রণয়নে প্রাকপ্রস্তুতি সভা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lang w:bidi="bn-IN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হিসেবে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উক্ত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মতবিনিময়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সভা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আয়োজন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করা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হয়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। 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এছাড়া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, 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  <w:cs/>
          <w:lang w:bidi="bn-IN"/>
        </w:rPr>
        <w:t>সম্প্রতি নারীর প্রতি সহিংসতা</w:t>
      </w:r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, </w:t>
      </w:r>
      <w:r w:rsidRPr="00246F92">
        <w:rPr>
          <w:rFonts w:ascii="NikoshBAN" w:eastAsia="Times New Roman" w:hAnsi="NikoshBAN" w:cs="NikoshBAN" w:hint="cs"/>
          <w:color w:val="222222"/>
          <w:sz w:val="24"/>
          <w:szCs w:val="24"/>
          <w:cs/>
          <w:lang w:bidi="bn-IN"/>
        </w:rPr>
        <w:t>ধর্ষণ ও হামলার ঘটনা বৃদ্ধি</w:t>
      </w:r>
      <w:r w:rsidRPr="00246F92">
        <w:rPr>
          <w:rFonts w:ascii="NikoshBAN" w:eastAsia="Times New Roman" w:hAnsi="NikoshBAN" w:cs="NikoshBAN" w:hint="cs"/>
          <w:color w:val="222222"/>
          <w:sz w:val="24"/>
          <w:szCs w:val="24"/>
          <w:lang w:bidi="bn-IN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পাওয়ার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প্রেক্ষিতে</w:t>
      </w:r>
      <w:proofErr w:type="spellEnd"/>
      <w:r w:rsidRPr="00246F92">
        <w:rPr>
          <w:rFonts w:ascii="NikoshBAN" w:eastAsia="Times New Roman" w:hAnsi="NikoshBAN" w:cs="NikoshBAN" w:hint="cs"/>
          <w:color w:val="222222"/>
          <w:sz w:val="24"/>
          <w:szCs w:val="24"/>
          <w:lang w:bidi="bn-IN"/>
        </w:rPr>
        <w:t> </w:t>
      </w:r>
      <w:r w:rsidRPr="00246F92">
        <w:rPr>
          <w:rFonts w:ascii="NikoshBAN" w:eastAsia="Times New Roman" w:hAnsi="NikoshBAN" w:cs="NikoshBAN" w:hint="cs"/>
          <w:color w:val="222222"/>
          <w:sz w:val="24"/>
          <w:szCs w:val="24"/>
          <w:cs/>
          <w:lang w:bidi="bn-IN"/>
        </w:rPr>
        <w:t>পরিস্থিতি উত্তোরণের জন্য ধর্ষণের কারণ চিহ্নিতকরণসহ তা নিরসনের উপায়সমূহ খুঁজে বের করার জন্য কমিশন কর্তৃক</w:t>
      </w:r>
      <w:r w:rsidRPr="00246F92">
        <w:rPr>
          <w:rFonts w:ascii="NikoshBAN" w:eastAsia="Times New Roman" w:hAnsi="NikoshBAN" w:cs="NikoshBAN" w:hint="cs"/>
          <w:color w:val="222222"/>
          <w:sz w:val="24"/>
          <w:szCs w:val="24"/>
          <w:lang w:bidi="bn-IN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গঠিত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 </w:t>
      </w:r>
      <w:r w:rsidRPr="00246F92">
        <w:rPr>
          <w:rFonts w:ascii="NikoshBAN" w:eastAsia="Times New Roman" w:hAnsi="NikoshBAN" w:cs="NikoshBAN" w:hint="cs"/>
          <w:color w:val="222222"/>
          <w:sz w:val="24"/>
          <w:szCs w:val="24"/>
          <w:cs/>
          <w:lang w:bidi="bn-IN"/>
        </w:rPr>
        <w:t>“ন্যাশনাল ইনকোয়ারি কমিটি” সুপারিশসমূহ বাস্তবায়নে সকলের সহযোগিতা</w:t>
      </w:r>
      <w:r w:rsidRPr="00246F92">
        <w:rPr>
          <w:rFonts w:ascii="NikoshBAN" w:eastAsia="Times New Roman" w:hAnsi="NikoshBAN" w:cs="NikoshBAN" w:hint="cs"/>
          <w:color w:val="222222"/>
          <w:sz w:val="24"/>
          <w:szCs w:val="24"/>
          <w:lang w:bidi="bn-IN"/>
        </w:rPr>
        <w:t> 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কামনা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করেন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কমিশনের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চেয়ারম্যান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নাছিমা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বেগম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এনডিসি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।</w:t>
      </w:r>
    </w:p>
    <w:p w14:paraId="0A933EAD" w14:textId="01480250" w:rsidR="00246F92" w:rsidRDefault="00246F92" w:rsidP="00FA4165">
      <w:pPr>
        <w:shd w:val="clear" w:color="auto" w:fill="FFFFFF"/>
        <w:spacing w:after="0" w:line="276" w:lineRule="auto"/>
        <w:ind w:firstLine="720"/>
        <w:jc w:val="both"/>
        <w:rPr>
          <w:rFonts w:ascii="NikoshBAN" w:eastAsia="Times New Roman" w:hAnsi="NikoshBAN" w:cs="NikoshBAN"/>
          <w:color w:val="222222"/>
          <w:sz w:val="24"/>
          <w:szCs w:val="24"/>
        </w:rPr>
      </w:pP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কমিশনের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চেয়ারম্যান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স্বরাষ্ট্র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মন্ত্রণালয়সহ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বিভিন্ন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মন্ত্রণালয়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/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বিভাগে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প্রেরিত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বিভিন্ন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সুপারিশ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বাস্তবায়নের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তাগিদ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দেন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এবং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চাহিত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প্রতিবেদন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দ্রুততার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সাথে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প্রেরণের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আহবান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জানান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। এ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প্রেক্ষাপটে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সুরক্ষায়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জাতীয়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কমিশনকে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সর্বাত্মক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সহায়তা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করার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আশ্বাস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প্রদান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করেন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মন্ত্রিপরিষদ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সচিব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এবং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অন্যান্য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সচিবগণ</w:t>
      </w:r>
      <w:proofErr w:type="spellEnd"/>
      <w:r w:rsidRPr="00246F92">
        <w:rPr>
          <w:rFonts w:ascii="NikoshBAN" w:eastAsia="Times New Roman" w:hAnsi="NikoshBAN" w:cs="NikoshBAN"/>
          <w:color w:val="222222"/>
          <w:sz w:val="24"/>
          <w:szCs w:val="24"/>
        </w:rPr>
        <w:t>।</w:t>
      </w:r>
    </w:p>
    <w:p w14:paraId="428D636C" w14:textId="452BEE17" w:rsidR="00FA4165" w:rsidRDefault="00FA4165" w:rsidP="00FA4165">
      <w:pPr>
        <w:shd w:val="clear" w:color="auto" w:fill="FFFFFF"/>
        <w:spacing w:after="0" w:line="276" w:lineRule="auto"/>
        <w:ind w:firstLine="720"/>
        <w:jc w:val="both"/>
        <w:rPr>
          <w:rFonts w:ascii="NikoshBAN" w:eastAsia="Times New Roman" w:hAnsi="NikoshBAN" w:cs="NikoshBAN"/>
          <w:color w:val="222222"/>
          <w:sz w:val="24"/>
          <w:szCs w:val="24"/>
        </w:rPr>
      </w:pPr>
    </w:p>
    <w:p w14:paraId="544B2C94" w14:textId="77777777" w:rsidR="00FA4165" w:rsidRPr="00246F92" w:rsidRDefault="00FA4165" w:rsidP="00FA4165">
      <w:pPr>
        <w:shd w:val="clear" w:color="auto" w:fill="FFFFFF"/>
        <w:spacing w:after="0" w:line="276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bookmarkStart w:id="0" w:name="_GoBack"/>
      <w:bookmarkEnd w:id="0"/>
    </w:p>
    <w:p w14:paraId="4FEE485B" w14:textId="77D6F5B8" w:rsidR="00843BA0" w:rsidRPr="00DF3846" w:rsidRDefault="00843BA0" w:rsidP="00E9539F">
      <w:pPr>
        <w:spacing w:line="276" w:lineRule="auto"/>
        <w:jc w:val="both"/>
        <w:rPr>
          <w:rFonts w:ascii="NikoshBAN" w:hAnsi="NikoshBAN" w:cs="NikoshBAN"/>
          <w:sz w:val="24"/>
          <w:szCs w:val="24"/>
        </w:rPr>
      </w:pPr>
      <w:r w:rsidRPr="00DF3846">
        <w:rPr>
          <w:rFonts w:ascii="NikoshBAN" w:hAnsi="NikoshBAN" w:cs="NikoshBAN"/>
          <w:sz w:val="24"/>
          <w:szCs w:val="24"/>
          <w:cs/>
          <w:lang w:bidi="bn-IN"/>
        </w:rPr>
        <w:t>ধন্যবাদান্তে</w:t>
      </w:r>
      <w:r w:rsidRPr="00DF3846">
        <w:rPr>
          <w:rFonts w:ascii="NikoshBAN" w:hAnsi="NikoshBAN" w:cs="NikoshBAN"/>
          <w:sz w:val="24"/>
          <w:szCs w:val="24"/>
        </w:rPr>
        <w:t>,</w:t>
      </w:r>
    </w:p>
    <w:p w14:paraId="035A9817" w14:textId="77777777" w:rsidR="00843BA0" w:rsidRPr="00DF3846" w:rsidRDefault="00843BA0" w:rsidP="00E9539F">
      <w:pPr>
        <w:spacing w:after="0" w:line="276" w:lineRule="auto"/>
        <w:rPr>
          <w:rFonts w:ascii="NikoshBAN" w:hAnsi="NikoshBAN" w:cs="NikoshBAN"/>
          <w:sz w:val="24"/>
          <w:szCs w:val="24"/>
          <w:lang w:bidi="bn-IN"/>
        </w:rPr>
      </w:pPr>
      <w:r w:rsidRPr="00DF3846">
        <w:rPr>
          <w:rFonts w:ascii="NikoshBAN" w:hAnsi="NikoshBAN" w:cs="NikoshBAN"/>
          <w:sz w:val="24"/>
          <w:szCs w:val="24"/>
          <w:cs/>
          <w:lang w:bidi="bn-IN"/>
        </w:rPr>
        <w:t>স্বাক্ষরিত</w:t>
      </w:r>
      <w:r w:rsidRPr="00DF3846">
        <w:rPr>
          <w:rFonts w:ascii="NikoshBAN" w:hAnsi="NikoshBAN" w:cs="NikoshBAN"/>
          <w:sz w:val="24"/>
          <w:szCs w:val="24"/>
          <w:lang w:bidi="bn-IN"/>
        </w:rPr>
        <w:t>/-</w:t>
      </w:r>
    </w:p>
    <w:p w14:paraId="45895357" w14:textId="77777777" w:rsidR="00843BA0" w:rsidRPr="00DF3846" w:rsidRDefault="00843BA0" w:rsidP="00E9539F">
      <w:pPr>
        <w:spacing w:after="0" w:line="276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DF3846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14:paraId="404F1828" w14:textId="77777777" w:rsidR="00843BA0" w:rsidRPr="00DF3846" w:rsidRDefault="00843BA0" w:rsidP="00E9539F">
      <w:pPr>
        <w:spacing w:after="0" w:line="276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DF3846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14:paraId="355E916C" w14:textId="77777777" w:rsidR="00843BA0" w:rsidRPr="00DF3846" w:rsidRDefault="00843BA0" w:rsidP="00E9539F">
      <w:pPr>
        <w:spacing w:after="0" w:line="276" w:lineRule="auto"/>
        <w:rPr>
          <w:rFonts w:ascii="NikoshBAN" w:hAnsi="NikoshBAN" w:cs="NikoshBAN"/>
          <w:sz w:val="24"/>
          <w:szCs w:val="24"/>
          <w:lang w:bidi="bn-IN"/>
        </w:rPr>
      </w:pPr>
      <w:r w:rsidRPr="00DF3846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14:paraId="0BCC64B0" w14:textId="34DF7CE1" w:rsidR="00843BA0" w:rsidRPr="00843BA0" w:rsidRDefault="00843BA0" w:rsidP="00E9539F">
      <w:pPr>
        <w:spacing w:after="0" w:line="276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DF3846">
        <w:rPr>
          <w:rFonts w:ascii="NikoshBAN" w:hAnsi="NikoshBAN" w:cs="NikoshBAN" w:hint="cs"/>
          <w:sz w:val="24"/>
          <w:szCs w:val="24"/>
          <w:cs/>
          <w:lang w:bidi="bn-IN"/>
        </w:rPr>
        <w:t>মোবাইলঃ ০১৩১৩৭৬৮৪০৪</w:t>
      </w:r>
    </w:p>
    <w:sectPr w:rsidR="00843BA0" w:rsidRPr="0084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A0"/>
    <w:rsid w:val="00080F1A"/>
    <w:rsid w:val="00246F92"/>
    <w:rsid w:val="005C792F"/>
    <w:rsid w:val="00843BA0"/>
    <w:rsid w:val="00E9539F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81B2"/>
  <w15:chartTrackingRefBased/>
  <w15:docId w15:val="{0659CD0C-877C-4E50-AE4C-A97AC83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BA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43BA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43BA0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B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3B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BIFPCL_HQ</cp:lastModifiedBy>
  <cp:revision>2</cp:revision>
  <cp:lastPrinted>2022-05-11T10:17:00Z</cp:lastPrinted>
  <dcterms:created xsi:type="dcterms:W3CDTF">2022-06-04T11:22:00Z</dcterms:created>
  <dcterms:modified xsi:type="dcterms:W3CDTF">2022-06-04T11:22:00Z</dcterms:modified>
</cp:coreProperties>
</file>