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10" w:rsidRPr="00D61FE4" w:rsidRDefault="00405B10" w:rsidP="00405B10">
      <w:pPr>
        <w:spacing w:after="0" w:line="240" w:lineRule="auto"/>
        <w:jc w:val="both"/>
        <w:rPr>
          <w:rFonts w:ascii="SutonnyMJ" w:hAnsi="SutonnyMJ" w:cs="Times New Roman"/>
          <w:b/>
          <w:sz w:val="2"/>
          <w:szCs w:val="20"/>
        </w:rPr>
      </w:pPr>
      <w:r w:rsidRPr="00D61FE4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085C0021" wp14:editId="4C7D973A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1FE4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405B10" w:rsidRPr="00A74643" w:rsidRDefault="00405B10" w:rsidP="00405B10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405B10" w:rsidRPr="00F03344" w:rsidRDefault="00405B10" w:rsidP="00405B10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405B10" w:rsidRPr="009A06CB" w:rsidRDefault="00405B10" w:rsidP="00405B10">
      <w:pPr>
        <w:spacing w:after="0" w:line="240" w:lineRule="auto"/>
        <w:ind w:left="720"/>
        <w:jc w:val="center"/>
        <w:rPr>
          <w:rFonts w:ascii="SutonnyMJ" w:hAnsi="SutonnyMJ"/>
          <w:szCs w:val="28"/>
          <w:lang w:bidi="bn-IN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>
        <w:rPr>
          <w:rFonts w:ascii="SutonnyMJ" w:hAnsi="SutonnyMJ" w:cs="Times New Roman"/>
        </w:rPr>
        <w:t xml:space="preserve"> </w:t>
      </w:r>
      <w:proofErr w:type="spellStart"/>
      <w:r>
        <w:rPr>
          <w:rFonts w:ascii="SutonnyMJ" w:hAnsi="SutonnyMJ" w:cs="Times New Roman"/>
        </w:rPr>
        <w:t>XvKv</w:t>
      </w:r>
      <w:proofErr w:type="spellEnd"/>
      <w:r>
        <w:rPr>
          <w:rFonts w:ascii="SutonnyMJ" w:hAnsi="SutonnyMJ" w:cs="Times New Roman"/>
        </w:rPr>
        <w:t>-</w:t>
      </w:r>
      <w:r w:rsidRPr="009A06CB">
        <w:rPr>
          <w:rFonts w:ascii="Nikosh" w:hAnsi="Nikosh" w:cs="Nikosh"/>
          <w:cs/>
          <w:lang w:bidi="bn-IN"/>
        </w:rPr>
        <w:t>১২১৫</w:t>
      </w:r>
    </w:p>
    <w:p w:rsidR="00405B10" w:rsidRPr="00F03344" w:rsidRDefault="00405B10" w:rsidP="00405B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7F15C8">
          <w:rPr>
            <w:rStyle w:val="Hyperlink"/>
            <w:rFonts w:ascii="Times New Roman" w:hAnsi="Times New Roman" w:cs="Times New Roman"/>
          </w:rPr>
          <w:t>info@nhrc.org.com</w:t>
        </w:r>
      </w:hyperlink>
    </w:p>
    <w:p w:rsidR="00405B10" w:rsidRPr="00A74643" w:rsidRDefault="00405B10" w:rsidP="00405B1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05B10" w:rsidRPr="00A74643" w:rsidRDefault="00405B10" w:rsidP="00405B10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405B10" w:rsidRPr="00C9552F" w:rsidRDefault="00405B10" w:rsidP="00405B10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>:/</w:t>
      </w:r>
      <w:r w:rsidRPr="0026737B"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২৩৯/১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২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-</w:t>
      </w:r>
      <w:r w:rsidR="00C45AB4">
        <w:rPr>
          <w:rFonts w:ascii="NikoshBAN" w:hAnsi="NikoshBAN" w:cs="NikoshBAN" w:hint="cs"/>
          <w:sz w:val="24"/>
          <w:szCs w:val="24"/>
          <w:cs/>
          <w:lang w:bidi="bn-IN"/>
        </w:rPr>
        <w:t>১০৬</w:t>
      </w:r>
      <w:r w:rsidRPr="00985C21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SutonnyMJ" w:hAnsi="SutonnyMJ" w:cs="Times New Roman"/>
          <w:sz w:val="24"/>
          <w:szCs w:val="24"/>
        </w:rPr>
        <w:t xml:space="preserve">      </w:t>
      </w:r>
      <w:r>
        <w:rPr>
          <w:rFonts w:ascii="SutonnyMJ" w:hAnsi="SutonnyMJ" w:cs="Times New Roman"/>
          <w:sz w:val="24"/>
          <w:szCs w:val="24"/>
        </w:rPr>
        <w:tab/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                   </w:t>
      </w:r>
      <w:r>
        <w:rPr>
          <w:rFonts w:ascii="SutonnyMJ" w:hAnsi="SutonnyMJ" w:cstheme="minorBidi" w:hint="cs"/>
          <w:sz w:val="24"/>
          <w:szCs w:val="24"/>
          <w:cs/>
          <w:lang w:bidi="bn-IN"/>
        </w:rPr>
        <w:t xml:space="preserve">    </w:t>
      </w:r>
      <w:r>
        <w:rPr>
          <w:rFonts w:ascii="SutonnyMJ" w:hAnsi="SutonnyMJ" w:hint="cs"/>
          <w:sz w:val="24"/>
          <w:szCs w:val="24"/>
          <w:cs/>
          <w:lang w:bidi="bn-IN"/>
        </w:rPr>
        <w:t xml:space="preserve"> 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ZvwiL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>
        <w:rPr>
          <w:rFonts w:ascii="NikoshBAN" w:hAnsi="NikoshBAN" w:cs="NikoshBAN"/>
          <w:sz w:val="24"/>
          <w:szCs w:val="24"/>
          <w:cs/>
          <w:lang w:bidi="bn-IN"/>
        </w:rPr>
        <w:t>২৬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C45AB4">
        <w:rPr>
          <w:rFonts w:ascii="NikoshBAN" w:hAnsi="NikoshBAN" w:cs="NikoshBAN" w:hint="cs"/>
          <w:sz w:val="24"/>
          <w:szCs w:val="24"/>
          <w:cs/>
          <w:lang w:bidi="bn-IN"/>
        </w:rPr>
        <w:t>সেপ্টেম্বর</w:t>
      </w:r>
      <w:r w:rsidR="00C45AB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405B10" w:rsidRDefault="00405B10" w:rsidP="00405B10">
      <w:pPr>
        <w:jc w:val="center"/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</w:pPr>
    </w:p>
    <w:p w:rsidR="00405B10" w:rsidRDefault="00405B10" w:rsidP="00D61FE4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-</w:t>
      </w:r>
    </w:p>
    <w:p w:rsidR="00D61FE4" w:rsidRPr="00D61FE4" w:rsidRDefault="00D61FE4" w:rsidP="00D61FE4">
      <w:pPr>
        <w:spacing w:after="0" w:line="240" w:lineRule="auto"/>
        <w:jc w:val="center"/>
        <w:rPr>
          <w:rFonts w:ascii="NikoshBAN" w:eastAsia="Times New Roman" w:hAnsi="NikoshBAN" w:cs="NikoshBAN"/>
          <w:b/>
          <w:sz w:val="24"/>
          <w:szCs w:val="24"/>
        </w:rPr>
      </w:pPr>
      <w:proofErr w:type="spellStart"/>
      <w:r w:rsidRPr="00D61FE4">
        <w:rPr>
          <w:rFonts w:ascii="NikoshBAN" w:eastAsia="Times New Roman" w:hAnsi="NikoshBAN" w:cs="NikoshBAN"/>
          <w:b/>
          <w:sz w:val="32"/>
          <w:szCs w:val="32"/>
        </w:rPr>
        <w:t>সিলেট</w:t>
      </w:r>
      <w:proofErr w:type="spellEnd"/>
      <w:r w:rsidRPr="00D61FE4">
        <w:rPr>
          <w:rFonts w:ascii="NikoshBAN" w:eastAsia="Times New Roman" w:hAnsi="NikoshBAN" w:cs="NikoshBAN"/>
          <w:b/>
          <w:sz w:val="32"/>
          <w:szCs w:val="32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b/>
          <w:sz w:val="32"/>
          <w:szCs w:val="32"/>
        </w:rPr>
        <w:t>এবং</w:t>
      </w:r>
      <w:proofErr w:type="spellEnd"/>
      <w:r w:rsidRPr="00D61FE4">
        <w:rPr>
          <w:rFonts w:ascii="NikoshBAN" w:eastAsia="Times New Roman" w:hAnsi="NikoshBAN" w:cs="NikoshBAN"/>
          <w:b/>
          <w:sz w:val="32"/>
          <w:szCs w:val="32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b/>
          <w:sz w:val="32"/>
          <w:szCs w:val="32"/>
        </w:rPr>
        <w:t>খাগড়াছড়িতে</w:t>
      </w:r>
      <w:proofErr w:type="spellEnd"/>
      <w:r w:rsidRPr="00D61FE4">
        <w:rPr>
          <w:rFonts w:ascii="NikoshBAN" w:eastAsia="Times New Roman" w:hAnsi="NikoshBAN" w:cs="NikoshBAN"/>
          <w:b/>
          <w:sz w:val="32"/>
          <w:szCs w:val="32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b/>
          <w:sz w:val="32"/>
          <w:szCs w:val="32"/>
        </w:rPr>
        <w:t>গণধর্ষণের</w:t>
      </w:r>
      <w:proofErr w:type="spellEnd"/>
      <w:r w:rsidRPr="00D61FE4">
        <w:rPr>
          <w:rFonts w:ascii="NikoshBAN" w:eastAsia="Times New Roman" w:hAnsi="NikoshBAN" w:cs="NikoshBAN"/>
          <w:b/>
          <w:sz w:val="32"/>
          <w:szCs w:val="32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b/>
          <w:sz w:val="32"/>
          <w:szCs w:val="32"/>
        </w:rPr>
        <w:t>ঘটনায়</w:t>
      </w:r>
      <w:proofErr w:type="spellEnd"/>
      <w:r w:rsidRPr="00D61FE4">
        <w:rPr>
          <w:rFonts w:ascii="NikoshBAN" w:eastAsia="Times New Roman" w:hAnsi="NikoshBAN" w:cs="NikoshBAN"/>
          <w:b/>
          <w:sz w:val="32"/>
          <w:szCs w:val="32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b/>
          <w:sz w:val="32"/>
          <w:szCs w:val="32"/>
        </w:rPr>
        <w:t>তীব্র</w:t>
      </w:r>
      <w:proofErr w:type="spellEnd"/>
      <w:r w:rsidRPr="00D61FE4">
        <w:rPr>
          <w:rFonts w:ascii="NikoshBAN" w:eastAsia="Times New Roman" w:hAnsi="NikoshBAN" w:cs="NikoshBAN"/>
          <w:b/>
          <w:sz w:val="32"/>
          <w:szCs w:val="32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b/>
          <w:sz w:val="32"/>
          <w:szCs w:val="32"/>
        </w:rPr>
        <w:t>নিন্দা</w:t>
      </w:r>
      <w:proofErr w:type="spellEnd"/>
      <w:r w:rsidRPr="00D61FE4">
        <w:rPr>
          <w:rFonts w:ascii="NikoshBAN" w:eastAsia="Times New Roman" w:hAnsi="NikoshBAN" w:cs="NikoshBAN"/>
          <w:b/>
          <w:sz w:val="32"/>
          <w:szCs w:val="32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b/>
          <w:sz w:val="32"/>
          <w:szCs w:val="32"/>
        </w:rPr>
        <w:t>প্রকাশ</w:t>
      </w:r>
      <w:proofErr w:type="spellEnd"/>
    </w:p>
    <w:p w:rsidR="00D61FE4" w:rsidRPr="00D61FE4" w:rsidRDefault="00D61FE4" w:rsidP="00D61FE4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61FE4" w:rsidRPr="00D61FE4" w:rsidRDefault="00D61FE4" w:rsidP="00D61FE4">
      <w:pPr>
        <w:spacing w:after="0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সিলেটের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এমসি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কলেজে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তরুণীকে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খাগড়াছড়িতে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বুদ্ধি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প্রতিবন্ধি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তরুণীকে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গণধর্ষণের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ঘটনায়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তীব্র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নিন্দা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প্রকাশ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করেছেন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চেয়ারম্যান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নাছিমা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বেগম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এনডিসি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সিলেট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মহানগর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পুলিশের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অতিরিক্ত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উপ-কমিশনারের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বরাত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দিয়ে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গণমাধ্যমে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প্রকাশিত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সংবাদ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জানা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যায়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যে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শুক্রবার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ওই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তরুণী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স্বামীর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সঙ্গে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এমসি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কলেজে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ঘুরতে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আসলে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৬/৭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যুবক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তরুণীকে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জোরপূর্বক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তুলে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নিয়ে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এমসি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কলেজ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ছাত্রাবাস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এলাকায়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গণধর্ষণ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এসময়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স্বামী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প্রতিবাদ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করলে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তাকে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মারধর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আটকে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রাখা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আসামিদের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কেউ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এখনো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গ্রেপ্তার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হয়নি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>। </w:t>
      </w:r>
    </w:p>
    <w:p w:rsidR="00D61FE4" w:rsidRPr="00D61FE4" w:rsidRDefault="00D61FE4" w:rsidP="00D61FE4">
      <w:pPr>
        <w:spacing w:after="0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অন্যদিকে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খাগড়াছড়িতে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ধর্ষণের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শিকার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তরুণীর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মায়ের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বরাত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দিয়ে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গণমাধ্যমে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প্রকাশিত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সংবাদ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জানা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যায়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যে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বুধবার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রাতে</w:t>
      </w:r>
      <w:proofErr w:type="spellEnd"/>
      <w:proofErr w:type="gramStart"/>
      <w:r w:rsidRPr="00D61FE4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নয়জন</w:t>
      </w:r>
      <w:proofErr w:type="spellEnd"/>
      <w:proofErr w:type="gram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ডাকাত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ঘরে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ঢুকে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বুদ্ধি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প্রতিবন্ধি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মেয়েকে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অস্ত্রের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মুখে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ধর্ষণ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ঘরের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জিনিস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লুটপাট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ঘটনার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সাথে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জড়িত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আসামিদের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মধ্যে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ইতোমধ্যে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সাতজন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গ্রেপ্তার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হয়েছে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বলে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গণমাধ্যম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সূত্রে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জানা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যায়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>।</w:t>
      </w:r>
    </w:p>
    <w:p w:rsidR="00D61FE4" w:rsidRPr="00D61FE4" w:rsidRDefault="00D61FE4" w:rsidP="00D61FE4">
      <w:pPr>
        <w:spacing w:after="0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উক্ত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ঘটনাসমূহের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বিষয়ে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চেয়ারম্যান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নাছিমা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বেগম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এনডিসি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একের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পর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এক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নারীর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নির্যাতন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ধর্ষণের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ঘটনা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অত্যন্ত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জঘন্য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ঘৃণ্যতম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ঘটনা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যা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কোনভাবেই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গ্রহণযোগ্য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নয়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নারীর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সুরক্ষিত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লক্ষ্যে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ধর্ষণের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বিরুদ্ধে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জিরো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টলারেন্স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নীতি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বাস্তবায়ন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আবশ্যক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ধর্ষক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যেই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হোক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কেন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তাকে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আইনের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আওতায়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এনে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দ্রুত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দৃষ্টান্তমূলক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শাস্তি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সিলেটের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ঘটনায়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আসামীদের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2475A9">
        <w:rPr>
          <w:rFonts w:ascii="NikoshBAN" w:eastAsia="Times New Roman" w:hAnsi="NikoshBAN" w:cs="NikoshBAN"/>
          <w:sz w:val="24"/>
          <w:szCs w:val="24"/>
        </w:rPr>
        <w:t>দ্রুত</w:t>
      </w:r>
      <w:proofErr w:type="spellEnd"/>
      <w:r w:rsidR="002475A9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2475A9">
        <w:rPr>
          <w:rFonts w:ascii="NikoshBAN" w:eastAsia="Times New Roman" w:hAnsi="NikoshBAN" w:cs="NikoshBAN"/>
          <w:sz w:val="24"/>
          <w:szCs w:val="24"/>
        </w:rPr>
        <w:t>গ্রেপ্তার</w:t>
      </w:r>
      <w:proofErr w:type="spellEnd"/>
      <w:r w:rsidR="002475A9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2475A9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="002475A9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2475A9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="002475A9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2475A9">
        <w:rPr>
          <w:rFonts w:ascii="NikoshBAN" w:eastAsia="Times New Roman" w:hAnsi="NikoshBAN" w:cs="NikoshBAN"/>
          <w:sz w:val="24"/>
          <w:szCs w:val="24"/>
        </w:rPr>
        <w:t>খাগড়াছড়ি</w:t>
      </w:r>
      <w:r w:rsidRPr="00D61FE4">
        <w:rPr>
          <w:rFonts w:ascii="NikoshBAN" w:eastAsia="Times New Roman" w:hAnsi="NikoshBAN" w:cs="NikoshBAN"/>
          <w:sz w:val="24"/>
          <w:szCs w:val="24"/>
        </w:rPr>
        <w:t>র</w:t>
      </w:r>
      <w:bookmarkStart w:id="0" w:name="_GoBack"/>
      <w:bookmarkEnd w:id="0"/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ঘটনায়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গ্রেপ্তারকৃত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আসামীদেরসহ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সংশ্লিষ্ট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অন্যান্যদের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দৃষ্টান্তমূলক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শাস্তি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নিশ্চিত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সংশ্লিষ্ট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সকলকে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সহযোগিতার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আহ্বান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জানান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61FE4">
        <w:rPr>
          <w:rFonts w:ascii="NikoshBAN" w:eastAsia="Times New Roman" w:hAnsi="NikoshBAN" w:cs="NikoshBAN"/>
          <w:sz w:val="24"/>
          <w:szCs w:val="24"/>
        </w:rPr>
        <w:t>তিনি</w:t>
      </w:r>
      <w:proofErr w:type="spellEnd"/>
      <w:r w:rsidRPr="00D61FE4">
        <w:rPr>
          <w:rFonts w:ascii="NikoshBAN" w:eastAsia="Times New Roman" w:hAnsi="NikoshBAN" w:cs="NikoshBAN"/>
          <w:sz w:val="24"/>
          <w:szCs w:val="24"/>
        </w:rPr>
        <w:t>।</w:t>
      </w:r>
    </w:p>
    <w:p w:rsidR="00405B10" w:rsidRPr="00D61FE4" w:rsidRDefault="00405B10" w:rsidP="00D61FE4">
      <w:pPr>
        <w:rPr>
          <w:rFonts w:ascii="NikoshBAN" w:hAnsi="NikoshBAN" w:cs="NikoshBAN"/>
          <w:sz w:val="24"/>
          <w:szCs w:val="24"/>
          <w:lang w:bidi="bn-IN"/>
        </w:rPr>
      </w:pPr>
    </w:p>
    <w:p w:rsidR="00405B10" w:rsidRPr="00AC2C9A" w:rsidRDefault="00405B10" w:rsidP="00405B10">
      <w:pPr>
        <w:spacing w:line="36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ধন্যবাদান্তে</w:t>
      </w:r>
      <w:r>
        <w:rPr>
          <w:rFonts w:ascii="NikoshBAN" w:hAnsi="NikoshBAN" w:cs="NikoshBAN"/>
          <w:sz w:val="24"/>
          <w:szCs w:val="24"/>
          <w:lang w:bidi="bn-IN"/>
        </w:rPr>
        <w:t>,</w:t>
      </w:r>
    </w:p>
    <w:p w:rsidR="00405B10" w:rsidRPr="00AC2C9A" w:rsidRDefault="00D61FE4" w:rsidP="00405B10">
      <w:pPr>
        <w:spacing w:after="0" w:line="36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</w:rPr>
        <w:t xml:space="preserve">স্বাক্ষরিত/- </w:t>
      </w:r>
    </w:p>
    <w:p w:rsidR="00405B10" w:rsidRPr="00AC2C9A" w:rsidRDefault="00405B10" w:rsidP="00405B10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405B10" w:rsidRPr="00AC2C9A" w:rsidRDefault="00405B10" w:rsidP="00405B10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405B10" w:rsidRPr="00AC2C9A" w:rsidRDefault="00405B10" w:rsidP="00405B10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:rsidR="00534660" w:rsidRPr="008E57B9" w:rsidRDefault="00405B10" w:rsidP="008E57B9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মোবাইলঃ ০১৭৯০৫৩৬৯৩৬</w:t>
      </w:r>
    </w:p>
    <w:sectPr w:rsidR="00534660" w:rsidRPr="008E57B9" w:rsidSect="00CE70AF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10"/>
    <w:rsid w:val="002475A9"/>
    <w:rsid w:val="00405B10"/>
    <w:rsid w:val="004F0B51"/>
    <w:rsid w:val="008E57B9"/>
    <w:rsid w:val="00C15FCE"/>
    <w:rsid w:val="00C45AB4"/>
    <w:rsid w:val="00D61FE4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EE9CC-A403-4A63-958A-477CB7BC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0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B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3</cp:revision>
  <cp:lastPrinted>2020-09-26T09:12:00Z</cp:lastPrinted>
  <dcterms:created xsi:type="dcterms:W3CDTF">2020-09-26T08:01:00Z</dcterms:created>
  <dcterms:modified xsi:type="dcterms:W3CDTF">2020-09-26T09:15:00Z</dcterms:modified>
</cp:coreProperties>
</file>