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B7" w:rsidRPr="00D61FE4" w:rsidRDefault="007738B7" w:rsidP="007738B7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3315F1C7" wp14:editId="6BE93A8E">
            <wp:simplePos x="0" y="0"/>
            <wp:positionH relativeFrom="column">
              <wp:posOffset>2593238</wp:posOffset>
            </wp:positionH>
            <wp:positionV relativeFrom="paragraph">
              <wp:posOffset>549</wp:posOffset>
            </wp:positionV>
            <wp:extent cx="693319" cy="630642"/>
            <wp:effectExtent l="0" t="0" r="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9" cy="6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7738B7" w:rsidRPr="00A74643" w:rsidRDefault="007738B7" w:rsidP="007738B7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7738B7" w:rsidRPr="00F03344" w:rsidRDefault="007738B7" w:rsidP="007738B7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7738B7" w:rsidRPr="009A06CB" w:rsidRDefault="007738B7" w:rsidP="007738B7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7738B7" w:rsidRPr="00F03344" w:rsidRDefault="007738B7" w:rsidP="007738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7738B7" w:rsidRPr="00A74643" w:rsidRDefault="007738B7" w:rsidP="007738B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738B7" w:rsidRPr="00A74643" w:rsidRDefault="007738B7" w:rsidP="007738B7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7738B7" w:rsidRPr="00016AF5" w:rsidRDefault="007738B7" w:rsidP="007738B7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১০8</w:t>
      </w:r>
      <w:r w:rsidRPr="00985C2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05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অক্টোবর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7738B7" w:rsidRDefault="007738B7" w:rsidP="007738B7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:rsidR="007738B7" w:rsidRPr="007738B7" w:rsidRDefault="007738B7" w:rsidP="007738B7">
      <w:pPr>
        <w:spacing w:after="0" w:line="240" w:lineRule="auto"/>
        <w:jc w:val="center"/>
        <w:rPr>
          <w:rFonts w:eastAsia="Times New Roman" w:cs="Calibri"/>
        </w:rPr>
      </w:pP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নোয়াখালীতে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নারীকে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বিবস্ত্র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করে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নির্যাতনের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ঘটনায়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তীব্র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নিন্দা</w:t>
      </w:r>
      <w:proofErr w:type="spellEnd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b/>
          <w:bCs/>
          <w:sz w:val="32"/>
          <w:szCs w:val="32"/>
        </w:rPr>
        <w:t>প্রকাশ</w:t>
      </w:r>
      <w:proofErr w:type="spellEnd"/>
    </w:p>
    <w:p w:rsidR="007738B7" w:rsidRPr="007738B7" w:rsidRDefault="007738B7" w:rsidP="007738B7">
      <w:pPr>
        <w:spacing w:after="0" w:line="240" w:lineRule="auto"/>
        <w:jc w:val="both"/>
        <w:rPr>
          <w:rFonts w:eastAsia="Times New Roman" w:cs="Calibri"/>
        </w:rPr>
      </w:pPr>
      <w:r w:rsidRPr="007738B7">
        <w:rPr>
          <w:rFonts w:ascii="NikoshBAN" w:eastAsia="Times New Roman" w:hAnsi="NikoshBAN" w:cs="NikoshBAN"/>
          <w:sz w:val="24"/>
          <w:szCs w:val="24"/>
        </w:rPr>
        <w:t> </w:t>
      </w:r>
    </w:p>
    <w:p w:rsidR="007738B7" w:rsidRPr="007738B7" w:rsidRDefault="007738B7" w:rsidP="007738B7">
      <w:pPr>
        <w:spacing w:after="0"/>
        <w:ind w:firstLine="720"/>
        <w:jc w:val="both"/>
        <w:rPr>
          <w:rFonts w:eastAsia="Times New Roman" w:cs="Calibri"/>
          <w:sz w:val="24"/>
          <w:szCs w:val="24"/>
        </w:rPr>
      </w:pP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নোয়াখালীর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বেগমগঞ্জে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নারীকে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(৩৭)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বিবস্ত্র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নির্যাতনের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তীব্র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নিন্দা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প্রকাশ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করেছেন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নাছিমা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এনডিসি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দায়েরকৃত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মামলার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এজাহারের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বরাত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দিয়ে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গণমাধ্যমে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প্রকাশিত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সংবাদ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তাঁর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স্বামীকে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বেঁধে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রেখে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আসামিরা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তাঁকে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ধর্ষণের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চেষ্টা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তাঁরা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ভিডিওচিত্র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ধারণ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মাস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ধরে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তাঁরা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ভিডিও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ছড়িয়ে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দেওয়ার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কথা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বলে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তাঁকে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অনৈতিক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প্রস্তাব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দেন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অনৈতিক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প্রস্তাবে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রাজি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হওয়ায়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তাঁরা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ভিডিও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ছেড়ে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দেন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>।</w:t>
      </w:r>
    </w:p>
    <w:p w:rsidR="007738B7" w:rsidRPr="007738B7" w:rsidRDefault="007738B7" w:rsidP="007738B7">
      <w:pPr>
        <w:spacing w:after="0"/>
        <w:ind w:firstLine="720"/>
        <w:jc w:val="both"/>
        <w:rPr>
          <w:rFonts w:eastAsia="Times New Roman" w:cs="Calibri"/>
          <w:sz w:val="24"/>
          <w:szCs w:val="24"/>
        </w:rPr>
      </w:pP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চেয়ারম্যান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নাছিমা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বেগম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এনডিসি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আদিম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যুগের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বর্বরতাকেও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হার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মানায়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নির্যাতনকারীরা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পশুর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চেয়েও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অধম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এমন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জঘন্য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কোনভাবেই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গ্রহণযোগ্য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মানবাধিকারের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চরম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লঙ্ঘন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সুরক্ষিত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নারীর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নির্যাতনের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বিরুদ্ধে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জিরো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টলারেন্স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নীতি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বাস্তবায়ন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আবশ্যক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নির্যাতনকারী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যেই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হোক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কেন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তাকে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আইনের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আওতায়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এনে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দৃষ্টান্তমূলক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এঘটনায়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আসামীদের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গ্রেপ্তার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দৃষ্টান্তমূলক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নিশ্চিত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সংশ্লিষ্ট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সকলকে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সহযোগিতার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জানান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তিনি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>।</w:t>
      </w:r>
    </w:p>
    <w:p w:rsidR="007738B7" w:rsidRPr="007738B7" w:rsidRDefault="007738B7" w:rsidP="007738B7">
      <w:pPr>
        <w:spacing w:after="0"/>
        <w:ind w:firstLine="720"/>
        <w:jc w:val="both"/>
        <w:rPr>
          <w:rFonts w:eastAsia="Times New Roman" w:cs="Calibri"/>
          <w:sz w:val="24"/>
          <w:szCs w:val="24"/>
        </w:rPr>
      </w:pP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উল্লেখ্য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স্বতঃপ্রণোদিত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আমলে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নিয়ে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পরিচালক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(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অভিযোগ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তদন্ত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>)-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নেতৃত্বে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০২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সদস্য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বিশিষ্ট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তদন্ত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কমিটি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গঠন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করেছে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কমিটি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আগামীকাল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ঘটনাস্থল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পরিদর্শন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করবে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আগামী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১০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কার্যদিবসের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কমিটিকে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প্রতিবেদন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দাখিলের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দেয়া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738B7">
        <w:rPr>
          <w:rFonts w:ascii="NikoshBAN" w:eastAsia="Times New Roman" w:hAnsi="NikoshBAN" w:cs="NikoshBAN"/>
          <w:sz w:val="24"/>
          <w:szCs w:val="24"/>
        </w:rPr>
        <w:t>হয়েছে</w:t>
      </w:r>
      <w:proofErr w:type="spellEnd"/>
      <w:r w:rsidRPr="007738B7">
        <w:rPr>
          <w:rFonts w:ascii="NikoshBAN" w:eastAsia="Times New Roman" w:hAnsi="NikoshBAN" w:cs="NikoshBAN"/>
          <w:sz w:val="24"/>
          <w:szCs w:val="24"/>
        </w:rPr>
        <w:t xml:space="preserve">। </w:t>
      </w:r>
    </w:p>
    <w:p w:rsidR="007738B7" w:rsidRPr="004A0B1A" w:rsidRDefault="007738B7" w:rsidP="0077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8B7" w:rsidRPr="004A0B1A" w:rsidRDefault="007738B7" w:rsidP="00773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B1A">
        <w:rPr>
          <w:rFonts w:ascii="NikoshBAN" w:eastAsia="Times New Roman" w:hAnsi="NikoshBAN" w:cs="NikoshBAN"/>
          <w:sz w:val="24"/>
          <w:szCs w:val="24"/>
        </w:rPr>
        <w:t>ধন্যবাদান্তে</w:t>
      </w:r>
      <w:proofErr w:type="spellEnd"/>
      <w:r w:rsidRPr="004A0B1A">
        <w:rPr>
          <w:rFonts w:ascii="NikoshBAN" w:eastAsia="Times New Roman" w:hAnsi="NikoshBAN" w:cs="NikoshBAN"/>
          <w:sz w:val="24"/>
          <w:szCs w:val="24"/>
        </w:rPr>
        <w:t>,</w:t>
      </w:r>
    </w:p>
    <w:p w:rsidR="007738B7" w:rsidRPr="004A0B1A" w:rsidRDefault="007738B7" w:rsidP="007738B7">
      <w:pPr>
        <w:spacing w:after="0"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4A0B1A">
        <w:rPr>
          <w:rFonts w:ascii="NikoshBAN" w:hAnsi="NikoshBAN" w:cs="NikoshBAN"/>
          <w:noProof/>
          <w:sz w:val="24"/>
          <w:szCs w:val="24"/>
        </w:rPr>
        <w:t xml:space="preserve">স্বাক্ষরিত/- </w:t>
      </w:r>
    </w:p>
    <w:p w:rsidR="007738B7" w:rsidRPr="004A0B1A" w:rsidRDefault="007738B7" w:rsidP="007738B7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4A0B1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7738B7" w:rsidRPr="004A0B1A" w:rsidRDefault="007738B7" w:rsidP="007738B7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4A0B1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7738B7" w:rsidRPr="004A0B1A" w:rsidRDefault="007738B7" w:rsidP="007738B7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4A0B1A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  <w:bookmarkStart w:id="0" w:name="_GoBack"/>
      <w:bookmarkEnd w:id="0"/>
    </w:p>
    <w:p w:rsidR="00534660" w:rsidRPr="004A0B1A" w:rsidRDefault="004A0B1A">
      <w:pPr>
        <w:rPr>
          <w:sz w:val="24"/>
          <w:szCs w:val="24"/>
        </w:rPr>
      </w:pPr>
    </w:p>
    <w:sectPr w:rsidR="00534660" w:rsidRPr="004A0B1A" w:rsidSect="00CE70AF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7"/>
    <w:rsid w:val="004A0B1A"/>
    <w:rsid w:val="004F0B51"/>
    <w:rsid w:val="007738B7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6EFCF-BD5E-4E1F-A4D0-60D2D676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B7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2020-10-05T12:29:00Z</dcterms:created>
  <dcterms:modified xsi:type="dcterms:W3CDTF">2020-10-05T12:31:00Z</dcterms:modified>
</cp:coreProperties>
</file>