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3DE" w:rsidRPr="00CB1A75" w:rsidRDefault="004863DE" w:rsidP="004863DE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B8878" wp14:editId="2E5F54E3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DE" w:rsidRDefault="004863DE" w:rsidP="004863DE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4863DE" w:rsidRDefault="004863DE" w:rsidP="004863DE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4863DE" w:rsidRDefault="004863DE" w:rsidP="004863DE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4863DE" w:rsidRPr="00CB1A75" w:rsidRDefault="004863DE" w:rsidP="004863DE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4863DE" w:rsidRPr="00CB1A75" w:rsidRDefault="004863DE" w:rsidP="004863DE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4863DE" w:rsidRPr="00CB1A75" w:rsidRDefault="004863DE" w:rsidP="004863DE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4863DE" w:rsidRPr="00CB1A75" w:rsidRDefault="004863DE" w:rsidP="004863DE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4863DE" w:rsidRPr="00CB1A75" w:rsidRDefault="004863DE" w:rsidP="004863D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63DE" w:rsidRPr="00C0511F" w:rsidRDefault="004863DE" w:rsidP="00C0511F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cs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0511F" w:rsidRPr="00C0511F">
        <w:rPr>
          <w:rFonts w:ascii="NikoshBAN" w:eastAsia="Times New Roman" w:hAnsi="NikoshBAN" w:cs="NikoshBAN"/>
          <w:color w:val="222222"/>
          <w:sz w:val="24"/>
          <w:szCs w:val="24"/>
        </w:rPr>
        <w:t>১৪১</w:t>
      </w:r>
      <w:r w:rsidRPr="00C0511F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                                        </w:t>
      </w:r>
      <w:r w:rsidRPr="00C0511F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</w:t>
      </w:r>
      <w:r w:rsidR="00C0511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</w:t>
      </w:r>
      <w:r w:rsidRPr="00C0511F">
        <w:rPr>
          <w:rFonts w:ascii="NikoshBAN" w:hAnsi="NikoshBAN" w:cs="NikoshBAN"/>
          <w:sz w:val="24"/>
          <w:szCs w:val="24"/>
          <w:cs/>
          <w:lang w:bidi="bn-IN"/>
        </w:rPr>
        <w:t xml:space="preserve"> তারিখঃ</w:t>
      </w:r>
      <w:r w:rsidRPr="00C0511F">
        <w:rPr>
          <w:rFonts w:ascii="NikoshBAN" w:hAnsi="NikoshBAN" w:cs="NikoshBAN"/>
          <w:sz w:val="24"/>
          <w:szCs w:val="24"/>
        </w:rPr>
        <w:t xml:space="preserve"> </w:t>
      </w:r>
      <w:r w:rsidR="00C0511F" w:rsidRPr="00C0511F">
        <w:rPr>
          <w:rFonts w:ascii="NikoshBAN" w:eastAsia="Times New Roman" w:hAnsi="NikoshBAN" w:cs="NikoshBAN"/>
          <w:color w:val="222222"/>
          <w:sz w:val="24"/>
          <w:szCs w:val="24"/>
        </w:rPr>
        <w:t>১৫.০১.২০২৩</w:t>
      </w:r>
    </w:p>
    <w:p w:rsidR="004863DE" w:rsidRDefault="004863DE" w:rsidP="004863DE">
      <w:pPr>
        <w:spacing w:after="0" w:line="240" w:lineRule="auto"/>
        <w:ind w:left="720" w:hanging="720"/>
        <w:jc w:val="both"/>
        <w:rPr>
          <w:rFonts w:ascii="NikoshBAN" w:hAnsi="NikoshBAN" w:cs="NikoshBAN"/>
          <w:b/>
          <w:sz w:val="28"/>
          <w:szCs w:val="28"/>
          <w:cs/>
          <w:lang w:bidi="bn-IN"/>
        </w:rPr>
      </w:pPr>
    </w:p>
    <w:p w:rsidR="004863DE" w:rsidRPr="0055304F" w:rsidRDefault="004863DE" w:rsidP="004863DE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55304F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সংবাদ বিজ্ঞপ্তিঃ</w:t>
      </w:r>
    </w:p>
    <w:p w:rsidR="00C0511F" w:rsidRPr="00C0511F" w:rsidRDefault="00C0511F" w:rsidP="00C0511F">
      <w:pPr>
        <w:shd w:val="clear" w:color="auto" w:fill="FFFFFF"/>
        <w:spacing w:after="0"/>
        <w:ind w:firstLine="720"/>
        <w:jc w:val="center"/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</w:pP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জাতীয়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মানবাধিকার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কমিশনের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আইনি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সহায়তায়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বিজ্ঞ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আদালত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হতে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জামিন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পেলেন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ভুক্তভোগী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>মুস্তাকিম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32"/>
          <w:szCs w:val="32"/>
        </w:rPr>
        <w:t xml:space="preserve"> </w:t>
      </w:r>
    </w:p>
    <w:p w:rsidR="00C0511F" w:rsidRPr="00C0511F" w:rsidRDefault="00C0511F" w:rsidP="00C0511F">
      <w:pPr>
        <w:shd w:val="clear" w:color="auto" w:fill="FFFFFF"/>
        <w:spacing w:after="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</w:p>
    <w:p w:rsidR="00C0511F" w:rsidRPr="00C0511F" w:rsidRDefault="00C0511F" w:rsidP="00C0511F">
      <w:pPr>
        <w:shd w:val="clear" w:color="auto" w:fill="FFFFFF"/>
        <w:spacing w:after="0"/>
        <w:ind w:firstLine="720"/>
        <w:jc w:val="both"/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</w:pP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গণমাধ্যমে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প্রকাশিত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"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ডায়ালাইসিসের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খরচ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জোগানো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একমাত্র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ছেলেটি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কারাগারে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দিশাহারা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"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শীর্ষক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সংবাদের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প্রতি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কমিশনের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দৃষ্টি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আকর্ষণ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প্রকাশিত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সংবাদে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উল্লেখ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ডায়ালাইসিস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ফি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বৃদ্ধির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প্রতিবাদ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করতে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গিয়ে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ছেলে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মুস্তাকিমকে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গ্রেপ্তার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কারাগারে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পাঠায়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পুলিশ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ঘটনায়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পুলিশ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বাদী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হয়ে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পুলিশের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ওপর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হামলা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সরকারি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কাজে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বাধাদানের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অভিযোগে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মামলা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।</w:t>
      </w:r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একমাত্র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ছেলে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কারাগারে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থাকায়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এখন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দিশাহারা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হয়ে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পড়েছেন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কিডনি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রোগী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নাসরিন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আক্তার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।</w:t>
      </w:r>
      <w:r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জাতীয়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মানবাধিকার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কমিশনের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আইনি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সহায়তায়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ভুক্তভোগী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মুস্তাকিম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বিজ্ঞ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আদালত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হতে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আজ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দুপুরে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জামিন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পেলেন</w:t>
      </w:r>
      <w:proofErr w:type="spellEnd"/>
      <w:r w:rsidRPr="00C0511F"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  <w:t>। </w:t>
      </w:r>
    </w:p>
    <w:p w:rsidR="00C0511F" w:rsidRPr="00C0511F" w:rsidRDefault="00C0511F" w:rsidP="00C0511F">
      <w:pPr>
        <w:shd w:val="clear" w:color="auto" w:fill="FFFFFF"/>
        <w:spacing w:after="0"/>
        <w:jc w:val="both"/>
        <w:rPr>
          <w:rFonts w:ascii="NikoshBAN" w:eastAsia="Times New Roman" w:hAnsi="NikoshBAN" w:cs="NikoshBAN"/>
          <w:b/>
          <w:bCs/>
          <w:color w:val="222222"/>
          <w:sz w:val="24"/>
          <w:szCs w:val="24"/>
        </w:rPr>
      </w:pPr>
    </w:p>
    <w:p w:rsidR="00C0511F" w:rsidRPr="00C0511F" w:rsidRDefault="00C0511F" w:rsidP="00C0511F">
      <w:pPr>
        <w:shd w:val="clear" w:color="auto" w:fill="FFFFFF"/>
        <w:spacing w:after="0"/>
        <w:ind w:firstLine="72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মনে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কিডনী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রোগীদের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জন্য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ডায়ালাইসিস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অত্যন্ত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গুরুত্বপূর্ণ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এধরণের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মূল্য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বৃদ্ধি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সাধারণ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মানুষের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বাঁচার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অধিকার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ক্ষুন্ন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হবার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পরিস্থিতি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সৃষ্টি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করতে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পারে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সুস্পষ্ট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লঙ্ঘন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ডায়ালাইসিস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সেবা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কম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খরচে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কিভাবে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দেয়া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যায়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তা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পর্যালোচনা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অত্যাবশ্যকীয়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একইভাবে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একারণে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রাস্তা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অবরোধ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রোগীদের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হাসপাতালের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সেবা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গ্রহণ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জনসাধারণের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চলাচলে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প্রতিবন্ধকতা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সৃষ্টি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কোনটিই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কাম্য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নয়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ভুক্তভোগীরা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যখন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এবিষয়ে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প্রতিবাদ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শুরু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করেছিল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তখনই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বিষয়টির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প্রতি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যথাযথ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গুরুত্ব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প্রদান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আলোচনা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ক্ষোভ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প্রশমনের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মাধ্যমে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অনাকাঙ্ক্ষিত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ঘটনা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পরিহারের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প্রচেষ্টা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নেয়া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সমীচীন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ছিল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বলে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মনে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। </w:t>
      </w:r>
    </w:p>
    <w:p w:rsidR="00C0511F" w:rsidRPr="00C0511F" w:rsidRDefault="00C0511F" w:rsidP="00C0511F">
      <w:pPr>
        <w:shd w:val="clear" w:color="auto" w:fill="FFFFFF"/>
        <w:spacing w:after="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</w:p>
    <w:p w:rsidR="00C0511F" w:rsidRPr="00C0511F" w:rsidRDefault="00C0511F" w:rsidP="00C0511F">
      <w:pPr>
        <w:shd w:val="clear" w:color="auto" w:fill="FFFFFF"/>
        <w:spacing w:after="0"/>
        <w:ind w:firstLine="72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উল্লেখ্য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সরকার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জনসাধারণের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বৃহত্তর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কল্যাণে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বিবিধ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স্বাস্থ্য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সেবা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প্রদানের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ব্যবস্থা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নিচ্ছে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এঅবস্থায়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সার্বিক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বিষয়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বিবেচনা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মানুষের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চিকিৎসার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অধিকার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নিশ্চিত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করার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জন্য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উক্ত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ডায়ালাইসিসের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খরচ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বৃদ্ধি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না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কিভাবে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চিকিৎসা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সেবা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প্রদান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যায়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বিষয়ে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কার্যকর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ব্যবস্থা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গ্রহণের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জন্য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কমিশনের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পক্ষ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থেকে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স্বাস্থ্য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অধিদপ্তরের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মহাপরিচালককে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গত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১১.০১.২৩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তারিখ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পত্র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প্রেরণ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হয়েছে</w:t>
      </w:r>
      <w:proofErr w:type="spellEnd"/>
      <w:r w:rsidRPr="00C0511F">
        <w:rPr>
          <w:rFonts w:ascii="NikoshBAN" w:eastAsia="Times New Roman" w:hAnsi="NikoshBAN" w:cs="NikoshBAN"/>
          <w:color w:val="222222"/>
          <w:sz w:val="24"/>
          <w:szCs w:val="24"/>
        </w:rPr>
        <w:t>।</w:t>
      </w:r>
    </w:p>
    <w:p w:rsidR="004863DE" w:rsidRDefault="004863DE" w:rsidP="004863DE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4863DE" w:rsidRDefault="004863DE" w:rsidP="004863DE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4863DE" w:rsidRPr="00724ECC" w:rsidRDefault="004863DE" w:rsidP="004863DE">
      <w:pPr>
        <w:jc w:val="both"/>
        <w:rPr>
          <w:rFonts w:ascii="Nikosh" w:hAnsi="Nikosh" w:cs="Nikosh"/>
          <w:sz w:val="24"/>
          <w:szCs w:val="24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724ECC">
        <w:rPr>
          <w:rFonts w:ascii="Nikosh" w:hAnsi="Nikosh" w:cs="Nikosh"/>
          <w:sz w:val="24"/>
          <w:szCs w:val="24"/>
        </w:rPr>
        <w:t>,</w:t>
      </w:r>
    </w:p>
    <w:p w:rsidR="004863DE" w:rsidRPr="00724ECC" w:rsidRDefault="004863DE" w:rsidP="004863DE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724ECC">
        <w:rPr>
          <w:rFonts w:ascii="Nikosh" w:hAnsi="Nikosh" w:cs="Nikosh"/>
          <w:sz w:val="24"/>
          <w:szCs w:val="24"/>
          <w:lang w:bidi="bn-IN"/>
        </w:rPr>
        <w:t>/-</w:t>
      </w:r>
    </w:p>
    <w:p w:rsidR="004863DE" w:rsidRPr="00724ECC" w:rsidRDefault="004863DE" w:rsidP="004863D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4863DE" w:rsidRPr="00724ECC" w:rsidRDefault="004863DE" w:rsidP="004863D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24ECC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4863DE" w:rsidRPr="00C0511F" w:rsidRDefault="004863DE" w:rsidP="00C0511F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4863DE" w:rsidRPr="00C0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E"/>
    <w:rsid w:val="004863DE"/>
    <w:rsid w:val="00C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5A1F"/>
  <w15:chartTrackingRefBased/>
  <w15:docId w15:val="{E0DA9987-F61B-47F9-B179-5920D39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D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D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6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2023-01-15T09:05:00Z</dcterms:created>
  <dcterms:modified xsi:type="dcterms:W3CDTF">2023-01-15T09:05:00Z</dcterms:modified>
</cp:coreProperties>
</file>