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771E" w14:textId="77777777" w:rsidR="002F7113" w:rsidRPr="00A74643" w:rsidRDefault="002F7113" w:rsidP="002F7113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0E36FD3" wp14:editId="2045CE91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14:paraId="27516D9A" w14:textId="77777777" w:rsidR="002F7113" w:rsidRPr="00A74643" w:rsidRDefault="002F7113" w:rsidP="002F7113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14:paraId="79E66D28" w14:textId="77777777" w:rsidR="002F7113" w:rsidRPr="00F03344" w:rsidRDefault="002F7113" w:rsidP="002F7113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14:paraId="17F68AEC" w14:textId="77777777" w:rsidR="002F7113" w:rsidRPr="00DF4996" w:rsidRDefault="002F7113" w:rsidP="002F7113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14:paraId="683C4F15" w14:textId="77777777" w:rsidR="002F7113" w:rsidRPr="00F03344" w:rsidRDefault="002F7113" w:rsidP="002F71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14:paraId="6CB2C02D" w14:textId="77777777" w:rsidR="002F7113" w:rsidRPr="00A74643" w:rsidRDefault="002F7113" w:rsidP="002F711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0837F9A" w14:textId="77777777" w:rsidR="002F7113" w:rsidRPr="00A74643" w:rsidRDefault="002F7113" w:rsidP="002F711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14:paraId="6FC2F728" w14:textId="75F27ACF" w:rsidR="002F7113" w:rsidRPr="00A14D54" w:rsidRDefault="002F7113" w:rsidP="002F7113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bs: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proofErr w:type="gramStart"/>
      <w:r>
        <w:rPr>
          <w:rFonts w:ascii="SutonnyMJ" w:hAnsi="SutonnyMJ" w:cs="Times New Roman"/>
          <w:sz w:val="24"/>
          <w:szCs w:val="24"/>
        </w:rPr>
        <w:t>cÖm:weÁ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A14D54" w:rsidRPr="00A14D54">
        <w:rPr>
          <w:rFonts w:ascii="NikoshBAN" w:hAnsi="NikoshBAN" w:cs="NikoshBAN"/>
          <w:sz w:val="24"/>
          <w:szCs w:val="24"/>
          <w:cs/>
          <w:lang w:bidi="bn-IN"/>
        </w:rPr>
        <w:t>৮৫</w:t>
      </w:r>
      <w:r w:rsidRPr="00A14D54">
        <w:rPr>
          <w:rFonts w:ascii="NikoshBAN" w:hAnsi="NikoshBAN" w:cs="NikoshBAN"/>
          <w:sz w:val="24"/>
          <w:szCs w:val="24"/>
        </w:rPr>
        <w:t xml:space="preserve"> 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 w:rsidR="00A14D54"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DB0938" w:rsidRPr="00A14D54">
        <w:rPr>
          <w:rFonts w:ascii="NikoshBAN" w:hAnsi="NikoshBAN" w:cs="NikoshBAN"/>
          <w:sz w:val="24"/>
          <w:szCs w:val="24"/>
          <w:cs/>
          <w:lang w:bidi="bn-IN"/>
        </w:rPr>
        <w:t>০৪ ফেব্রুয়ারি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14:paraId="2590ACEC" w14:textId="77777777" w:rsidR="002F7113" w:rsidRDefault="002F7113" w:rsidP="002F7113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14:paraId="4E46B915" w14:textId="4D22B8F9" w:rsidR="002F7113" w:rsidRPr="00A14D54" w:rsidRDefault="002F7113" w:rsidP="00A14D54">
      <w:pPr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14:paraId="2B8B7544" w14:textId="44B880B5" w:rsidR="00A14D54" w:rsidRPr="00BC6D27" w:rsidRDefault="00DB0938" w:rsidP="00A14D54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ascii="NikoshBAN" w:hAnsi="NikoshBAN" w:cs="NikoshBAN"/>
          <w:b w:val="0"/>
          <w:bCs w:val="0"/>
          <w:sz w:val="28"/>
          <w:szCs w:val="28"/>
          <w:lang w:bidi="bn-BD"/>
        </w:rPr>
      </w:pPr>
      <w:r>
        <w:rPr>
          <w:rFonts w:ascii="NikoshBAN" w:hAnsi="NikoshBAN" w:cs="NikoshBAN" w:hint="cs"/>
          <w:b w:val="0"/>
          <w:bCs w:val="0"/>
          <w:sz w:val="28"/>
          <w:szCs w:val="28"/>
          <w:cs/>
          <w:lang w:bidi="bn-IN"/>
        </w:rPr>
        <w:t xml:space="preserve">          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গণমাধ্যমে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প্রকাশিত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সংবাদ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থেকে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জানা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যায়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যে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,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খাগড়াছড়ি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জেলার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মাটিরাঙ্গা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থানার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r>
        <w:rPr>
          <w:rFonts w:ascii="NikoshBAN" w:hAnsi="NikoshBAN" w:cs="NikoshBAN" w:hint="cs"/>
          <w:b w:val="0"/>
          <w:bCs w:val="0"/>
          <w:sz w:val="28"/>
          <w:szCs w:val="28"/>
          <w:cs/>
          <w:lang w:bidi="bn-IN"/>
        </w:rPr>
        <w:t xml:space="preserve">বিজিবি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সদস্যদের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সাথে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স্থানীয়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গ্রামবাসীর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সংঘর্ষে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বিজিবির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একজন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সদস্যসহ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মোট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5জন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নিহত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হয়েছেন</w:t>
      </w:r>
      <w:proofErr w:type="spellEnd"/>
      <w:r w:rsidR="002F7113" w:rsidRPr="00DB0938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।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বিজিবির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মত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প্রশিক্ষিত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বাহিনীর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সাথে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গ্রামবা</w:t>
      </w:r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সী</w:t>
      </w:r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সংঘর্ষ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হওয়া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এবং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এতে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এক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জন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বিজিবি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সদস্যসহ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মোট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পাঁচ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জনের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মৃত্যুর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ঘটনায়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জাতীয়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মানবাধিকার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কমিশন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গভীর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উদ্বেগ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প্রকাশ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করছে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।</w:t>
      </w:r>
      <w:r w:rsidR="00B812BA">
        <w:rPr>
          <w:rFonts w:ascii="NikoshBAN" w:hAnsi="NikoshBAN" w:cs="NikoshBAN" w:hint="cs"/>
          <w:b w:val="0"/>
          <w:bCs w:val="0"/>
          <w:sz w:val="28"/>
          <w:szCs w:val="28"/>
          <w:cs/>
          <w:lang w:bidi="bn-IN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বিজিবির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সদস্যদের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গুলিবর্ষণের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কারণে</w:t>
      </w:r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হোক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অথবা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গ্রামবাস</w:t>
      </w:r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ী</w:t>
      </w:r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দ্বারা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বিজিবির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অস্ত্র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কেড়ে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নিয়ে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গুলি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চালানোর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কারণেই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হোক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,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পাঁচ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জনই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নিহত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হয়েছে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বিজিবির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হেফাজতে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ও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নিয়ন্ত্রণে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থাকা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অস্ত্রের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গুলিতে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। </w:t>
      </w:r>
      <w:r w:rsidR="00B812BA">
        <w:rPr>
          <w:rFonts w:ascii="NikoshBAN" w:hAnsi="NikoshBAN" w:cs="NikoshBAN" w:hint="cs"/>
          <w:b w:val="0"/>
          <w:bCs w:val="0"/>
          <w:sz w:val="28"/>
          <w:szCs w:val="28"/>
          <w:cs/>
          <w:lang w:bidi="bn-IN"/>
        </w:rPr>
        <w:t xml:space="preserve">কমিশনের চেয়ারম্যান নাছিমা বেগম, </w:t>
      </w:r>
      <w:r w:rsidR="00B812BA" w:rsidRPr="00B812BA">
        <w:rPr>
          <w:rFonts w:ascii="NikoshBAN" w:hAnsi="NikoshBAN" w:cs="NikoshBAN" w:hint="cs"/>
          <w:b w:val="0"/>
          <w:bCs w:val="0"/>
          <w:sz w:val="24"/>
          <w:szCs w:val="24"/>
          <w:cs/>
          <w:lang w:bidi="bn-IN"/>
        </w:rPr>
        <w:t>এনডিসি</w:t>
      </w:r>
      <w:r w:rsidR="00B812BA">
        <w:rPr>
          <w:rFonts w:ascii="NikoshBAN" w:hAnsi="NikoshBAN" w:cs="NikoshBAN" w:hint="cs"/>
          <w:b w:val="0"/>
          <w:bCs w:val="0"/>
          <w:sz w:val="28"/>
          <w:szCs w:val="28"/>
          <w:cs/>
          <w:lang w:bidi="bn-IN"/>
        </w:rPr>
        <w:t xml:space="preserve"> মনে করেন,</w:t>
      </w:r>
      <w:r w:rsidR="00B812B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বিজিবি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কর্তৃপক্ষ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কোন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ভাবে</w:t>
      </w:r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এ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হত্যাকান্ডের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দায়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এড়াতে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পারে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না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।</w:t>
      </w:r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বিষয়টি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অত্যন্ত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স্পর্শকাতর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,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সেখানে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গুলি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চালানোর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মত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পরিস্থিতির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উ</w:t>
      </w:r>
      <w:r w:rsidR="006857EA">
        <w:rPr>
          <w:rFonts w:ascii="NikoshBAN" w:hAnsi="NikoshBAN" w:cs="NikoshBAN"/>
          <w:b w:val="0"/>
          <w:bCs w:val="0"/>
          <w:sz w:val="28"/>
          <w:szCs w:val="28"/>
          <w:lang w:bidi="bn-IN"/>
        </w:rPr>
        <w:t>দ্ভব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হয়েছিল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কি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না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এ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বিষয়ে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সুষ্ঠু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ও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নিরপেক্ষ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তদন্ত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হওয়া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এবং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এ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বিষয়ে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দায়</w:t>
      </w:r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ী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ব্যক্তিদের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বিরুদ্ধে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আইনানুগ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ব্যবস্থা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গ্রহণ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করা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অত্যাবশ্যক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মর্মে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জাতীয়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মানবাধিকার</w:t>
      </w:r>
      <w:proofErr w:type="spellEnd"/>
      <w:r w:rsidR="008835AA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কমিশন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মনে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করে</w:t>
      </w:r>
      <w:proofErr w:type="spellEnd"/>
      <w:r w:rsidR="008835AA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। </w:t>
      </w:r>
      <w:proofErr w:type="spellStart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বিষয়</w:t>
      </w:r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টি</w:t>
      </w:r>
      <w:proofErr w:type="spellEnd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অত্যন্ত</w:t>
      </w:r>
      <w:proofErr w:type="spellEnd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গুরুত্বপূর্ণ</w:t>
      </w:r>
      <w:proofErr w:type="spellEnd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বিবেচনায়</w:t>
      </w:r>
      <w:proofErr w:type="spellEnd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এ </w:t>
      </w:r>
      <w:proofErr w:type="spellStart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বিষয়ে</w:t>
      </w:r>
      <w:proofErr w:type="spellEnd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তদন্তপূর্বক</w:t>
      </w:r>
      <w:proofErr w:type="spellEnd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গৃহীত</w:t>
      </w:r>
      <w:proofErr w:type="spellEnd"/>
      <w:r w:rsidR="00A14D54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ব্যবস্থা</w:t>
      </w:r>
      <w:proofErr w:type="spellEnd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কমিশনকে</w:t>
      </w:r>
      <w:proofErr w:type="spellEnd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অবহিত</w:t>
      </w:r>
      <w:proofErr w:type="spellEnd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করার</w:t>
      </w:r>
      <w:proofErr w:type="spellEnd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proofErr w:type="spellStart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>জন্য</w:t>
      </w:r>
      <w:proofErr w:type="spellEnd"/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  <w:r w:rsidR="00A14D54">
        <w:rPr>
          <w:rFonts w:ascii="NikoshBAN" w:hAnsi="NikoshBAN" w:cs="NikoshBAN" w:hint="cs"/>
          <w:b w:val="0"/>
          <w:bCs w:val="0"/>
          <w:sz w:val="28"/>
          <w:szCs w:val="28"/>
          <w:cs/>
          <w:lang w:bidi="bn-IN"/>
        </w:rPr>
        <w:t>স্বরাষ্ট্র মন্ত্রণালয়কে পত্র প্রেরণ করা হয়েছে।</w:t>
      </w:r>
      <w:r w:rsidR="00A14D54" w:rsidRPr="00BC6D27">
        <w:rPr>
          <w:rFonts w:ascii="NikoshBAN" w:hAnsi="NikoshBAN" w:cs="NikoshBAN"/>
          <w:b w:val="0"/>
          <w:bCs w:val="0"/>
          <w:sz w:val="28"/>
          <w:szCs w:val="28"/>
          <w:lang w:bidi="bn-BD"/>
        </w:rPr>
        <w:t xml:space="preserve"> </w:t>
      </w:r>
    </w:p>
    <w:p w14:paraId="12C4F4B6" w14:textId="77777777" w:rsidR="00A14D54" w:rsidRDefault="00A14D54" w:rsidP="00A14D54">
      <w:pPr>
        <w:spacing w:line="360" w:lineRule="auto"/>
        <w:rPr>
          <w:rFonts w:ascii="NikoshBAN" w:hAnsi="NikoshBAN" w:cs="NikoshBAN"/>
          <w:sz w:val="28"/>
          <w:szCs w:val="28"/>
          <w:lang w:bidi="bn-IN"/>
        </w:rPr>
      </w:pPr>
    </w:p>
    <w:p w14:paraId="607A0D48" w14:textId="77777777" w:rsidR="0060707F" w:rsidRPr="0047557F" w:rsidRDefault="0060707F" w:rsidP="0060707F">
      <w:pPr>
        <w:rPr>
          <w:rFonts w:ascii="NikoshBAN" w:hAnsi="NikoshBAN" w:cs="NikoshBAN" w:hint="cs"/>
          <w:sz w:val="28"/>
          <w:szCs w:val="28"/>
          <w:cs/>
          <w:lang w:bidi="bn-IN"/>
        </w:rPr>
      </w:pPr>
      <w:proofErr w:type="spellStart"/>
      <w:r>
        <w:rPr>
          <w:rFonts w:ascii="NikoshBAN" w:hAnsi="NikoshBAN" w:cs="NikoshBAN"/>
          <w:sz w:val="28"/>
          <w:szCs w:val="28"/>
          <w:lang w:bidi="bn-IN"/>
        </w:rPr>
        <w:t>ধন্যবাদান্তে</w:t>
      </w:r>
      <w:proofErr w:type="spellEnd"/>
      <w:r>
        <w:rPr>
          <w:rFonts w:ascii="NikoshBAN" w:hAnsi="NikoshBAN" w:cs="NikoshBAN"/>
          <w:sz w:val="28"/>
          <w:szCs w:val="28"/>
          <w:lang w:bidi="bn-IN"/>
        </w:rPr>
        <w:t>,</w:t>
      </w:r>
      <w:bookmarkStart w:id="0" w:name="_GoBack"/>
      <w:bookmarkEnd w:id="0"/>
    </w:p>
    <w:p w14:paraId="64D8082D" w14:textId="7261ED5D" w:rsidR="002F7113" w:rsidRPr="0047557F" w:rsidRDefault="002F7113" w:rsidP="00A14D54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47557F">
        <w:rPr>
          <w:rFonts w:ascii="NikoshBAN" w:hAnsi="NikoshBAN" w:cs="NikoshBAN"/>
          <w:noProof/>
          <w:sz w:val="28"/>
          <w:szCs w:val="28"/>
        </w:rPr>
        <w:drawing>
          <wp:inline distT="0" distB="0" distL="0" distR="0" wp14:anchorId="31124D25" wp14:editId="26264E53">
            <wp:extent cx="1084496" cy="448573"/>
            <wp:effectExtent l="19050" t="0" r="1354" b="0"/>
            <wp:docPr id="1" name="Picture 1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EA1C1" w14:textId="77777777" w:rsidR="002F7113" w:rsidRPr="0047557F" w:rsidRDefault="002F7113" w:rsidP="00A14D54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>ফারহানা সাঈদ</w:t>
      </w:r>
    </w:p>
    <w:p w14:paraId="0250492D" w14:textId="77777777" w:rsidR="002F7113" w:rsidRPr="0047557F" w:rsidRDefault="002F7113" w:rsidP="00A14D54">
      <w:pPr>
        <w:spacing w:after="0"/>
        <w:rPr>
          <w:rFonts w:ascii="NikoshBAN" w:hAnsi="NikoshBAN" w:cs="NikoshBAN"/>
          <w:sz w:val="28"/>
          <w:szCs w:val="28"/>
          <w:cs/>
          <w:lang w:bidi="bn-IN"/>
        </w:rPr>
      </w:pPr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>জনসংযোগ কর্মকর্তা</w:t>
      </w:r>
    </w:p>
    <w:p w14:paraId="5D13F194" w14:textId="77777777" w:rsidR="002F7113" w:rsidRPr="0047557F" w:rsidRDefault="002F7113" w:rsidP="00A14D54">
      <w:pPr>
        <w:spacing w:after="0"/>
        <w:rPr>
          <w:rFonts w:ascii="NikoshBAN" w:hAnsi="NikoshBAN" w:cs="NikoshBAN"/>
          <w:sz w:val="28"/>
          <w:szCs w:val="28"/>
          <w:lang w:bidi="bn-IN"/>
        </w:rPr>
      </w:pPr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>জাতীয় মানবাধিকার কমিশন, বাংলাদেশ</w:t>
      </w:r>
    </w:p>
    <w:p w14:paraId="46E74233" w14:textId="61AD7DF1" w:rsidR="002F7113" w:rsidRPr="00A14D54" w:rsidRDefault="002F7113" w:rsidP="00A14D54">
      <w:pPr>
        <w:spacing w:after="0" w:line="360" w:lineRule="auto"/>
        <w:rPr>
          <w:rFonts w:ascii="NikoshBAN" w:hAnsi="NikoshBAN" w:cs="NikoshBAN"/>
          <w:sz w:val="28"/>
          <w:szCs w:val="28"/>
          <w:lang w:bidi="bn-IN"/>
        </w:rPr>
      </w:pPr>
      <w:r w:rsidRPr="0047557F">
        <w:rPr>
          <w:rFonts w:ascii="NikoshBAN" w:hAnsi="NikoshBAN" w:cs="NikoshBAN" w:hint="cs"/>
          <w:sz w:val="28"/>
          <w:szCs w:val="28"/>
          <w:cs/>
          <w:lang w:bidi="bn-IN"/>
        </w:rPr>
        <w:t>মোবাইলঃ ০১৭৯০৫৩৬৯৩৬</w:t>
      </w:r>
    </w:p>
    <w:p w14:paraId="467A4763" w14:textId="77777777" w:rsidR="006072EA" w:rsidRDefault="006072EA" w:rsidP="00A14D54">
      <w:pPr>
        <w:spacing w:line="360" w:lineRule="auto"/>
        <w:rPr>
          <w:lang w:bidi="bn-IN"/>
        </w:rPr>
      </w:pPr>
    </w:p>
    <w:sectPr w:rsidR="006072EA" w:rsidSect="0088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13"/>
    <w:rsid w:val="002942D0"/>
    <w:rsid w:val="002F7113"/>
    <w:rsid w:val="0047557F"/>
    <w:rsid w:val="0060707F"/>
    <w:rsid w:val="006072EA"/>
    <w:rsid w:val="006300AD"/>
    <w:rsid w:val="006857EA"/>
    <w:rsid w:val="006B0019"/>
    <w:rsid w:val="007D4922"/>
    <w:rsid w:val="008835AA"/>
    <w:rsid w:val="00A14D54"/>
    <w:rsid w:val="00B107C8"/>
    <w:rsid w:val="00B812BA"/>
    <w:rsid w:val="00C7759C"/>
    <w:rsid w:val="00D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7CD2"/>
  <w15:chartTrackingRefBased/>
  <w15:docId w15:val="{AC6004DC-3C4B-490D-BB2E-F9077F9C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11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DB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9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rc.b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2020-03-04T09:05:00Z</cp:lastPrinted>
  <dcterms:created xsi:type="dcterms:W3CDTF">2020-03-04T06:23:00Z</dcterms:created>
  <dcterms:modified xsi:type="dcterms:W3CDTF">2020-03-04T09:05:00Z</dcterms:modified>
</cp:coreProperties>
</file>