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9E" w:rsidRDefault="0032599E" w:rsidP="0032599E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32599E" w:rsidRDefault="0032599E" w:rsidP="0032599E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স্মারকঃ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৫৫.১২.০০০০.১০৭.৩২.০০৩.১৯-২45                                                                        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তারিখঃ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01.০5.২০২০</w:t>
      </w:r>
    </w:p>
    <w:p w:rsidR="0032599E" w:rsidRDefault="0032599E" w:rsidP="0032599E">
      <w:pPr>
        <w:spacing w:after="0"/>
        <w:jc w:val="both"/>
        <w:rPr>
          <w:rFonts w:ascii="NikoshBAN" w:eastAsia="Times New Roman" w:hAnsi="NikoshBAN" w:cs="NikoshBAN"/>
          <w:sz w:val="8"/>
          <w:szCs w:val="24"/>
        </w:rPr>
      </w:pPr>
    </w:p>
    <w:p w:rsidR="0032599E" w:rsidRDefault="0032599E" w:rsidP="0032599E">
      <w:pPr>
        <w:spacing w:after="0"/>
        <w:jc w:val="both"/>
        <w:rPr>
          <w:rFonts w:ascii="NikoshBAN" w:eastAsia="Times New Roman" w:hAnsi="NikoshBAN" w:cs="NikoshBAN"/>
          <w:sz w:val="8"/>
          <w:szCs w:val="24"/>
        </w:rPr>
      </w:pPr>
    </w:p>
    <w:p w:rsidR="0032599E" w:rsidRPr="00DA51D5" w:rsidRDefault="0032599E" w:rsidP="0032599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বিষয়ঃ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গণমাধ্যমে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প্রচারিত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“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পুলিশ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হেফাজতে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প্রাণ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গেল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দোকান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কর্মচারীর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”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সংক্রান্ত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সংবাদ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প্রতিবেদন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বিষয়ে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ব্যবস্থা</w:t>
      </w:r>
      <w:proofErr w:type="spellEnd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গ্রহণ</w:t>
      </w:r>
      <w:proofErr w:type="spellEnd"/>
      <w:r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kern w:val="36"/>
          <w:sz w:val="24"/>
          <w:szCs w:val="24"/>
        </w:rPr>
        <w:t>প্রসঙ্গে</w:t>
      </w:r>
      <w:proofErr w:type="spellEnd"/>
    </w:p>
    <w:p w:rsidR="0032599E" w:rsidRDefault="0032599E" w:rsidP="0032599E">
      <w:pPr>
        <w:spacing w:after="160"/>
        <w:jc w:val="both"/>
        <w:rPr>
          <w:rFonts w:ascii="NikoshBAN" w:eastAsia="Times New Roman" w:hAnsi="NikoshBAN" w:cs="NikoshBAN"/>
          <w:sz w:val="24"/>
          <w:szCs w:val="24"/>
        </w:rPr>
      </w:pPr>
      <w:r w:rsidRPr="00DA51D5">
        <w:rPr>
          <w:rFonts w:ascii="NikoshBAN" w:eastAsia="Times New Roman" w:hAnsi="NikoshBAN" w:cs="NikoshBAN"/>
          <w:sz w:val="24"/>
          <w:szCs w:val="24"/>
        </w:rPr>
        <w:t xml:space="preserve">             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উপর্যুক্ত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বিষয়ের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প্রেক্ষিতে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জানানো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যাচ্ছে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২৯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এপ্রিল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২০২০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তারিখ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সময়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টেলিভিশনে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r>
        <w:rPr>
          <w:rFonts w:ascii="NikoshBAN" w:eastAsia="Times New Roman" w:hAnsi="NikoshBAN" w:cs="NikoshBAN"/>
          <w:sz w:val="24"/>
          <w:szCs w:val="24"/>
        </w:rPr>
        <w:t>“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পুলিশ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হেফাজতে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প্রাণ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গেল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দোকান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কর্মচারীর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>”</w:t>
      </w:r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প্রতিবেদনে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দৃষ্টি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আকৃষ্ট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হয়েছে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প্রতিবেদনে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চট্টগ্রামের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টেরীবাজারে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গিরিধারী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চৌধুরী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নামক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কাপড়ের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দোকানের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কর্মচারীর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পুলিশ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হেফাজতে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মৃত্যু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হয়েছ</w:t>
      </w:r>
      <w:r>
        <w:rPr>
          <w:rFonts w:ascii="NikoshBAN" w:eastAsia="Times New Roman" w:hAnsi="NikoshBAN" w:cs="NikoshBAN"/>
          <w:sz w:val="24"/>
          <w:szCs w:val="24"/>
        </w:rPr>
        <w:t>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মৃতের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স্বজন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অন্য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দোকানদারদের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বক্তব্যে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লকডাউনের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কারণে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দীর্ঘদিন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ধরে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টেরীবাজারের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কাপড়ের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দোকানগুলো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বন্ধ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ঘটনার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বুধবার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(২৯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এপ্রিল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>) 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বিকেলে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বেতন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পরিশোধ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মাল</w:t>
      </w:r>
      <w:r>
        <w:rPr>
          <w:rFonts w:ascii="NikoshBAN" w:eastAsia="Times New Roman" w:hAnsi="NikoshBAN" w:cs="NikoshBAN"/>
          <w:sz w:val="24"/>
          <w:szCs w:val="24"/>
        </w:rPr>
        <w:t>ামাল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গোছাতে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দোকান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খোলা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এসময়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কোতয়ালি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থানার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বক্সিরবিট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পুলিশ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ফাঁড়ির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এসআই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কামরুল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এসে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দোকানের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কর্মচারীদের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মারধর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শুরু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পরবর্তীতে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দুই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কর্মচারীকে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ফাঁড়িতে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নিয়ে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যাওয়া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নিখিল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নামক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আরেক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কর্মচারীর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বরাতে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প্রতিবেদনে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উল্লেখ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>।</w:t>
      </w:r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মারধরের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পর্যায়ে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নিস্তেজ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হয়ে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পড়েন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আটককৃত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গিরিধারী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চৌধুরী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পরে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চট্টগ্রাম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মেডিকেল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কলেজ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হাসপাতালে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নেয়া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হলে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কর্তব্যরত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চিকিৎসক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তাকে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মৃত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ঘোষণা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>।</w:t>
      </w:r>
    </w:p>
    <w:p w:rsidR="0032599E" w:rsidRPr="00FB7C2E" w:rsidRDefault="0032599E" w:rsidP="0032599E">
      <w:pPr>
        <w:spacing w:after="160"/>
        <w:jc w:val="both"/>
        <w:rPr>
          <w:rFonts w:ascii="Calibri" w:eastAsia="Times New Roman" w:hAnsi="Calibri" w:cs="Calibri"/>
          <w:sz w:val="24"/>
          <w:szCs w:val="24"/>
        </w:rPr>
      </w:pPr>
      <w:r w:rsidRPr="00DA51D5">
        <w:rPr>
          <w:rFonts w:ascii="NikoshBAN" w:eastAsia="Times New Roman" w:hAnsi="NikoshBAN" w:cs="NikoshBAN"/>
          <w:sz w:val="24"/>
          <w:szCs w:val="24"/>
        </w:rPr>
        <w:t xml:space="preserve">        ০২।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হেফাজতে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মৃত্যুকে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কখনোই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সমর্থন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করেনা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হেফাজতে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মৃত্যু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মানবাধিক</w:t>
      </w:r>
      <w:r>
        <w:rPr>
          <w:rFonts w:ascii="NikoshBAN" w:eastAsia="Times New Roman" w:hAnsi="NikoshBAN" w:cs="NikoshBAN"/>
          <w:sz w:val="24"/>
          <w:szCs w:val="24"/>
        </w:rPr>
        <w:t>ারের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চরম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লঙ্ঘন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দেশের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সংকটময়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পরিস্থিতিতে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আইন-</w:t>
      </w:r>
      <w:r w:rsidRPr="00DA51D5">
        <w:rPr>
          <w:rFonts w:ascii="NikoshBAN" w:eastAsia="Times New Roman" w:hAnsi="NikoshBAN" w:cs="NikoshBAN"/>
          <w:sz w:val="24"/>
          <w:szCs w:val="24"/>
        </w:rPr>
        <w:t>শৃঙ্খলা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রক্ষাকারী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বাহিনির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সদস্যরা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যেখানে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জনগণের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সেবায়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অক্লান্ত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পরিশ্রম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যাচ্ছেন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ইতোমধ্যে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পুলিশের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০৩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করোনায়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আক্রান্ত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হয়ে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মৃত্যুবরণ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করেছেন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এমন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সময়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পুলিশের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কতিপয়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সদস্যের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এহেন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অপেশাদারী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আচরণ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কোনভাবেই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কাম্য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কতিপয়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সদস্যের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কর্মকান্ডে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পুরো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বাহিনী</w:t>
      </w:r>
      <w:r>
        <w:rPr>
          <w:rFonts w:ascii="NikoshBAN" w:eastAsia="Times New Roman" w:hAnsi="NikoshBAN" w:cs="NikoshBAN"/>
          <w:sz w:val="24"/>
          <w:szCs w:val="24"/>
        </w:rPr>
        <w:t>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ভাবমূর্তি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ক্ষুণ্ণ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হওয়ার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আশঙ্কা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রয়েছে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>।</w:t>
      </w:r>
      <w:r w:rsidRPr="00867D0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প্রতিবেদনে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এসআই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কামরুলসহ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তিন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পুলিশ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সদস্যকে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ক্লোজড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হয়েছে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তদন্তে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কমিটি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গঠন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হয়েছে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শুধু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প্রত্যাহার</w:t>
      </w:r>
      <w:r>
        <w:rPr>
          <w:rFonts w:ascii="NikoshBAN" w:hAnsi="NikoshBAN" w:cs="NikoshBAN"/>
          <w:sz w:val="24"/>
          <w:szCs w:val="24"/>
        </w:rPr>
        <w:t>ই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এই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ধরনের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জঘন্য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অপরাধের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শাস্তি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হতে</w:t>
      </w:r>
      <w:proofErr w:type="spellEnd"/>
      <w:r w:rsidRPr="00FB7C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7C2E">
        <w:rPr>
          <w:rFonts w:ascii="NikoshBAN" w:hAnsi="NikoshBAN" w:cs="NikoshBAN"/>
          <w:sz w:val="24"/>
          <w:szCs w:val="24"/>
        </w:rPr>
        <w:t>পারেনা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32599E" w:rsidRPr="00DA51D5" w:rsidRDefault="0032599E" w:rsidP="0032599E">
      <w:pPr>
        <w:spacing w:after="160"/>
        <w:jc w:val="both"/>
        <w:rPr>
          <w:rFonts w:ascii="Calibri" w:eastAsia="Times New Roman" w:hAnsi="Calibri" w:cs="Calibri"/>
          <w:sz w:val="24"/>
          <w:szCs w:val="24"/>
        </w:rPr>
      </w:pPr>
      <w:r w:rsidRPr="00DA51D5">
        <w:rPr>
          <w:rFonts w:ascii="NikoshBAN" w:eastAsia="Times New Roman" w:hAnsi="NikoshBAN" w:cs="NikoshBAN"/>
          <w:sz w:val="24"/>
          <w:szCs w:val="24"/>
        </w:rPr>
        <w:t xml:space="preserve">       ০৩।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বর্ণিত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প্রেক্ষাপটে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সুষ্ঠু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তদন্ত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দ্রুততম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সময়ের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দায়ীদের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শাস</w:t>
      </w:r>
      <w:r>
        <w:rPr>
          <w:rFonts w:ascii="NikoshBAN" w:eastAsia="Times New Roman" w:hAnsi="NikoshBAN" w:cs="NikoshBAN"/>
          <w:sz w:val="24"/>
          <w:szCs w:val="24"/>
        </w:rPr>
        <w:t>্তি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নির্দেশিত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হয়ে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অনুরোধ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A51D5">
        <w:rPr>
          <w:rFonts w:ascii="NikoshBAN" w:eastAsia="Times New Roman" w:hAnsi="NikoshBAN" w:cs="NikoshBAN"/>
          <w:sz w:val="24"/>
          <w:szCs w:val="24"/>
        </w:rPr>
        <w:t>হল</w:t>
      </w:r>
      <w:proofErr w:type="spellEnd"/>
      <w:r w:rsidRPr="00DA51D5">
        <w:rPr>
          <w:rFonts w:ascii="NikoshBAN" w:eastAsia="Times New Roman" w:hAnsi="NikoshBAN" w:cs="NikoshBAN"/>
          <w:sz w:val="24"/>
          <w:szCs w:val="24"/>
        </w:rPr>
        <w:t xml:space="preserve">। </w:t>
      </w:r>
    </w:p>
    <w:p w:rsidR="0032599E" w:rsidRDefault="0032599E" w:rsidP="0032599E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32599E" w:rsidRDefault="0032599E" w:rsidP="0032599E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32599E" w:rsidTr="00D95D8A">
        <w:tc>
          <w:tcPr>
            <w:tcW w:w="6858" w:type="dxa"/>
          </w:tcPr>
          <w:p w:rsidR="0032599E" w:rsidRDefault="0032599E" w:rsidP="00D95D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32599E" w:rsidRDefault="0032599E" w:rsidP="00D95D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32599E" w:rsidRDefault="0032599E" w:rsidP="00D95D8A">
            <w:pPr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32599E" w:rsidRDefault="0032599E" w:rsidP="00D95D8A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সচিব</w:t>
            </w:r>
            <w:proofErr w:type="spellEnd"/>
          </w:p>
          <w:p w:rsidR="0032599E" w:rsidRDefault="0032599E" w:rsidP="00D95D8A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জননিরাপত্তা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বিভাগ</w:t>
            </w:r>
            <w:proofErr w:type="spellEnd"/>
          </w:p>
          <w:p w:rsidR="0032599E" w:rsidRDefault="0032599E" w:rsidP="00D95D8A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স্বরাষ্ট্র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মন্ত্রনালয়</w:t>
            </w:r>
            <w:proofErr w:type="spellEnd"/>
          </w:p>
          <w:p w:rsidR="0032599E" w:rsidRPr="00FB7C2E" w:rsidRDefault="0032599E" w:rsidP="00D95D8A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sz w:val="30"/>
              </w:rPr>
            </w:pPr>
          </w:p>
          <w:p w:rsidR="0032599E" w:rsidRDefault="0032599E" w:rsidP="00D95D8A">
            <w:pPr>
              <w:jc w:val="both"/>
              <w:rPr>
                <w:rFonts w:ascii="NikoshBAN" w:eastAsia="Times New Roman" w:hAnsi="NikoshBAN" w:cs="NikoshBAN"/>
                <w:sz w:val="18"/>
                <w:szCs w:val="24"/>
              </w:rPr>
            </w:pPr>
          </w:p>
          <w:p w:rsidR="0032599E" w:rsidRDefault="0032599E" w:rsidP="00D95D8A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>
              <w:rPr>
                <w:rFonts w:ascii="NikoshBAN" w:hAnsi="NikoshBAN" w:cs="NikoshBAN"/>
                <w:szCs w:val="24"/>
              </w:rPr>
              <w:t>অনুলিপি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সদয়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জ্ঞাতার্থে</w:t>
            </w:r>
            <w:proofErr w:type="spellEnd"/>
            <w:r>
              <w:rPr>
                <w:rFonts w:ascii="NikoshBAN" w:hAnsi="NikoshBAN" w:cs="NikoshBAN"/>
                <w:szCs w:val="24"/>
              </w:rPr>
              <w:t>):</w:t>
            </w:r>
          </w:p>
          <w:p w:rsidR="0032599E" w:rsidRDefault="0032599E" w:rsidP="00D95D8A">
            <w:pPr>
              <w:jc w:val="both"/>
              <w:rPr>
                <w:rFonts w:ascii="NikoshBAN" w:hAnsi="NikoshBAN" w:cs="NikoshBAN"/>
                <w:sz w:val="8"/>
                <w:szCs w:val="24"/>
              </w:rPr>
            </w:pPr>
          </w:p>
          <w:p w:rsidR="0032599E" w:rsidRDefault="0032599E" w:rsidP="00D95D8A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০১। </w:t>
            </w:r>
            <w:proofErr w:type="spellStart"/>
            <w:r>
              <w:rPr>
                <w:rFonts w:ascii="NikoshBAN" w:hAnsi="NikoshBAN" w:cs="NikoshBAN"/>
              </w:rPr>
              <w:t>মাননীয়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মন্ত্রীর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একান্ত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সচিব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স্বরাষ্ট্র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মন্ত্রণালয়</w:t>
            </w:r>
            <w:proofErr w:type="spellEnd"/>
            <w:r>
              <w:rPr>
                <w:rFonts w:ascii="NikoshBAN" w:hAnsi="NikoshBAN" w:cs="NikoshBAN"/>
              </w:rPr>
              <w:t>, (</w:t>
            </w:r>
            <w:proofErr w:type="spellStart"/>
            <w:r>
              <w:rPr>
                <w:rFonts w:ascii="NikoshBAN" w:hAnsi="NikoshBAN" w:cs="NikoshBAN"/>
              </w:rPr>
              <w:t>মন্ত্রী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মহোদয়ের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সদয়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অবগতির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  <w:p w:rsidR="0032599E" w:rsidRDefault="0032599E" w:rsidP="00D95D8A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</w:p>
        </w:tc>
        <w:tc>
          <w:tcPr>
            <w:tcW w:w="2718" w:type="dxa"/>
            <w:hideMark/>
          </w:tcPr>
          <w:p w:rsidR="0032599E" w:rsidRDefault="0032599E" w:rsidP="00D95D8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noProof/>
                <w:sz w:val="24"/>
                <w:szCs w:val="24"/>
              </w:rPr>
              <w:drawing>
                <wp:inline distT="0" distB="0" distL="0" distR="0" wp14:anchorId="1687380D" wp14:editId="5C7DF668">
                  <wp:extent cx="609600" cy="419100"/>
                  <wp:effectExtent l="0" t="0" r="0" b="0"/>
                  <wp:docPr id="1" name="Picture 1" descr="Description: C:\Users\User\Desktop\Signatur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User\Desktop\Signature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99E" w:rsidRDefault="0032599E" w:rsidP="00D95D8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কাজী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আরফান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আশিক</w:t>
            </w:r>
            <w:proofErr w:type="spellEnd"/>
          </w:p>
          <w:p w:rsidR="0032599E" w:rsidRDefault="0032599E" w:rsidP="00D95D8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প্রশাসন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32599E" w:rsidRDefault="0032599E" w:rsidP="00D95D8A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মানবাধিকার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কমিশন</w:t>
            </w:r>
            <w:proofErr w:type="spellEnd"/>
          </w:p>
        </w:tc>
      </w:tr>
    </w:tbl>
    <w:p w:rsidR="005D5244" w:rsidRDefault="005D5244">
      <w:bookmarkStart w:id="0" w:name="_GoBack"/>
      <w:bookmarkEnd w:id="0"/>
    </w:p>
    <w:sectPr w:rsidR="005D52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0"/>
      <w:gridCol w:w="4604"/>
      <w:gridCol w:w="2634"/>
    </w:tblGrid>
    <w:tr w:rsidR="00DA51D5" w:rsidTr="006163BD">
      <w:trPr>
        <w:trHeight w:val="1853"/>
      </w:trPr>
      <w:tc>
        <w:tcPr>
          <w:tcW w:w="2490" w:type="dxa"/>
        </w:tcPr>
        <w:p w:rsidR="00DA51D5" w:rsidRDefault="0032599E" w:rsidP="006163BD">
          <w:pPr>
            <w:tabs>
              <w:tab w:val="center" w:pos="4680"/>
              <w:tab w:val="right" w:pos="9360"/>
            </w:tabs>
            <w:jc w:val="center"/>
            <w:rPr>
              <w:rFonts w:ascii="NikoshBAN" w:hAnsi="NikoshBAN" w:cs="NikoshBAN"/>
              <w:b/>
              <w:sz w:val="24"/>
            </w:rPr>
          </w:pPr>
        </w:p>
        <w:p w:rsidR="00DA51D5" w:rsidRDefault="0032599E" w:rsidP="006163BD">
          <w:pPr>
            <w:tabs>
              <w:tab w:val="center" w:pos="4680"/>
              <w:tab w:val="right" w:pos="9360"/>
            </w:tabs>
            <w:jc w:val="center"/>
            <w:rPr>
              <w:rFonts w:ascii="NikoshBAN" w:hAnsi="NikoshBAN" w:cs="NikoshBAN"/>
              <w:b/>
              <w:sz w:val="24"/>
            </w:rPr>
          </w:pPr>
        </w:p>
        <w:p w:rsidR="00DA51D5" w:rsidRDefault="0032599E" w:rsidP="006163BD">
          <w:pPr>
            <w:tabs>
              <w:tab w:val="center" w:pos="4680"/>
              <w:tab w:val="right" w:pos="9360"/>
            </w:tabs>
            <w:rPr>
              <w:rFonts w:ascii="NikoshBAN" w:hAnsi="NikoshBAN" w:cs="NikoshBAN"/>
              <w:sz w:val="10"/>
            </w:rPr>
          </w:pPr>
        </w:p>
        <w:p w:rsidR="00DA51D5" w:rsidRDefault="0032599E" w:rsidP="006163BD">
          <w:pPr>
            <w:tabs>
              <w:tab w:val="center" w:pos="4680"/>
              <w:tab w:val="right" w:pos="9360"/>
            </w:tabs>
            <w:jc w:val="center"/>
            <w:rPr>
              <w:rFonts w:ascii="NikoshBAN" w:hAnsi="NikoshBAN" w:cs="NikoshBAN"/>
              <w:sz w:val="24"/>
            </w:rPr>
          </w:pPr>
          <w:proofErr w:type="spellStart"/>
          <w:r>
            <w:rPr>
              <w:rFonts w:ascii="SutonnyMJ" w:hAnsi="SutonnyMJ" w:cs="SutonnyMJ"/>
              <w:sz w:val="24"/>
            </w:rPr>
            <w:t>ÔÔ</w:t>
          </w:r>
          <w:r>
            <w:rPr>
              <w:rFonts w:ascii="NikoshBAN" w:hAnsi="NikoshBAN" w:cs="NikoshBAN"/>
              <w:sz w:val="24"/>
            </w:rPr>
            <w:t>মুজিববর্ষের</w:t>
          </w:r>
          <w:proofErr w:type="spellEnd"/>
          <w:r>
            <w:rPr>
              <w:rFonts w:ascii="NikoshBAN" w:hAnsi="NikoshBAN" w:cs="NikoshBAN"/>
              <w:sz w:val="24"/>
            </w:rPr>
            <w:t xml:space="preserve"> </w:t>
          </w:r>
          <w:proofErr w:type="spellStart"/>
          <w:r>
            <w:rPr>
              <w:rFonts w:ascii="NikoshBAN" w:hAnsi="NikoshBAN" w:cs="NikoshBAN"/>
              <w:sz w:val="24"/>
            </w:rPr>
            <w:t>অঙ্গীকার</w:t>
          </w:r>
          <w:proofErr w:type="spellEnd"/>
        </w:p>
        <w:p w:rsidR="00DA51D5" w:rsidRDefault="0032599E" w:rsidP="006163BD">
          <w:pPr>
            <w:tabs>
              <w:tab w:val="center" w:pos="4680"/>
              <w:tab w:val="right" w:pos="9360"/>
            </w:tabs>
            <w:jc w:val="center"/>
            <w:rPr>
              <w:rFonts w:ascii="SutonnyMJ" w:hAnsi="SutonnyMJ" w:cs="SutonnyMJ"/>
            </w:rPr>
          </w:pPr>
          <w:proofErr w:type="spellStart"/>
          <w:r>
            <w:rPr>
              <w:rFonts w:ascii="NikoshBAN" w:hAnsi="NikoshBAN" w:cs="NikoshBAN"/>
              <w:sz w:val="24"/>
            </w:rPr>
            <w:t>সুরক্ষিত</w:t>
          </w:r>
          <w:proofErr w:type="spellEnd"/>
          <w:r>
            <w:rPr>
              <w:rFonts w:ascii="NikoshBAN" w:hAnsi="NikoshBAN" w:cs="NikoshBAN"/>
              <w:sz w:val="24"/>
            </w:rPr>
            <w:t xml:space="preserve"> </w:t>
          </w:r>
          <w:proofErr w:type="spellStart"/>
          <w:r>
            <w:rPr>
              <w:rFonts w:ascii="NikoshBAN" w:hAnsi="NikoshBAN" w:cs="NikoshBAN"/>
              <w:sz w:val="24"/>
            </w:rPr>
            <w:t>হবে</w:t>
          </w:r>
          <w:proofErr w:type="spellEnd"/>
          <w:r>
            <w:rPr>
              <w:rFonts w:ascii="NikoshBAN" w:hAnsi="NikoshBAN" w:cs="NikoshBAN"/>
              <w:sz w:val="24"/>
            </w:rPr>
            <w:t xml:space="preserve"> </w:t>
          </w:r>
          <w:proofErr w:type="spellStart"/>
          <w:r>
            <w:rPr>
              <w:rFonts w:ascii="NikoshBAN" w:hAnsi="NikoshBAN" w:cs="NikoshBAN"/>
              <w:sz w:val="24"/>
            </w:rPr>
            <w:t>মানবাধিকার</w:t>
          </w:r>
          <w:r>
            <w:rPr>
              <w:rFonts w:ascii="SutonnyMJ" w:hAnsi="SutonnyMJ" w:cs="SutonnyMJ"/>
              <w:sz w:val="24"/>
            </w:rPr>
            <w:t>ÕÕ</w:t>
          </w:r>
          <w:proofErr w:type="spellEnd"/>
        </w:p>
      </w:tc>
      <w:tc>
        <w:tcPr>
          <w:tcW w:w="4604" w:type="dxa"/>
          <w:hideMark/>
        </w:tcPr>
        <w:p w:rsidR="00DA51D5" w:rsidRDefault="0032599E" w:rsidP="006163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7ED5E3F" wp14:editId="78456CC0">
                <wp:extent cx="591820" cy="591820"/>
                <wp:effectExtent l="0" t="0" r="0" b="0"/>
                <wp:docPr id="3" name="Picture 3" descr="Description: D:\Azahar Admin &amp; Training\Logo NHRC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Azahar Admin &amp; Training\Logo NHRC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51D5" w:rsidRDefault="0032599E" w:rsidP="006163BD">
          <w:pPr>
            <w:jc w:val="center"/>
            <w:rPr>
              <w:rFonts w:ascii="NikoshBAN" w:eastAsia="Times New Roman" w:hAnsi="NikoshBAN" w:cs="NikoshBAN"/>
              <w:b/>
              <w:sz w:val="32"/>
              <w:szCs w:val="32"/>
            </w:rPr>
          </w:pPr>
          <w:proofErr w:type="spellStart"/>
          <w:r>
            <w:rPr>
              <w:rFonts w:ascii="NikoshBAN" w:eastAsia="Times New Roman" w:hAnsi="NikoshBAN" w:cs="NikoshBAN"/>
              <w:b/>
              <w:sz w:val="32"/>
              <w:szCs w:val="32"/>
            </w:rPr>
            <w:t>জাতীয়</w:t>
          </w:r>
          <w:proofErr w:type="spellEnd"/>
          <w:r>
            <w:rPr>
              <w:rFonts w:ascii="NikoshBAN" w:eastAsia="Times New Roman" w:hAnsi="NikoshBAN" w:cs="NikoshBAN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NikoshBAN" w:eastAsia="Times New Roman" w:hAnsi="NikoshBAN" w:cs="NikoshBAN"/>
              <w:b/>
              <w:sz w:val="32"/>
              <w:szCs w:val="32"/>
            </w:rPr>
            <w:t>মানবাধিকার</w:t>
          </w:r>
          <w:proofErr w:type="spellEnd"/>
          <w:r>
            <w:rPr>
              <w:rFonts w:ascii="NikoshBAN" w:eastAsia="Times New Roman" w:hAnsi="NikoshBAN" w:cs="NikoshBAN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NikoshBAN" w:eastAsia="Times New Roman" w:hAnsi="NikoshBAN" w:cs="NikoshBAN"/>
              <w:b/>
              <w:sz w:val="32"/>
              <w:szCs w:val="32"/>
            </w:rPr>
            <w:t>কমিশন</w:t>
          </w:r>
          <w:proofErr w:type="spellEnd"/>
        </w:p>
        <w:p w:rsidR="00DA51D5" w:rsidRDefault="0032599E" w:rsidP="006163BD">
          <w:pPr>
            <w:jc w:val="center"/>
            <w:rPr>
              <w:rFonts w:ascii="NikoshBAN" w:hAnsi="NikoshBAN" w:cs="NikoshBAN"/>
              <w:b/>
              <w:sz w:val="20"/>
            </w:rPr>
          </w:pPr>
          <w:proofErr w:type="spellStart"/>
          <w:r>
            <w:rPr>
              <w:rFonts w:ascii="NikoshBAN" w:hAnsi="NikoshBAN" w:cs="NikoshBAN"/>
              <w:sz w:val="18"/>
            </w:rPr>
            <w:t>বিটিএমসি</w:t>
          </w:r>
          <w:proofErr w:type="spellEnd"/>
          <w:r>
            <w:rPr>
              <w:rFonts w:ascii="NikoshBAN" w:hAnsi="NikoshBAN" w:cs="NikoshBAN"/>
              <w:sz w:val="18"/>
            </w:rPr>
            <w:t xml:space="preserve"> </w:t>
          </w:r>
          <w:proofErr w:type="spellStart"/>
          <w:r>
            <w:rPr>
              <w:rFonts w:ascii="NikoshBAN" w:hAnsi="NikoshBAN" w:cs="NikoshBAN"/>
              <w:sz w:val="18"/>
            </w:rPr>
            <w:t>ভবন</w:t>
          </w:r>
          <w:proofErr w:type="spellEnd"/>
          <w:r>
            <w:rPr>
              <w:rFonts w:ascii="NikoshBAN" w:hAnsi="NikoshBAN" w:cs="NikoshBAN"/>
              <w:sz w:val="18"/>
            </w:rPr>
            <w:t xml:space="preserve"> (</w:t>
          </w:r>
          <w:r>
            <w:rPr>
              <w:rFonts w:ascii="NikoshBAN" w:hAnsi="NikoshBAN" w:cs="NikoshBAN"/>
              <w:sz w:val="18"/>
            </w:rPr>
            <w:t>৯ম</w:t>
          </w:r>
          <w:r>
            <w:rPr>
              <w:rFonts w:ascii="NikoshBAN" w:hAnsi="NikoshBAN" w:cs="NikoshBAN"/>
              <w:sz w:val="18"/>
            </w:rPr>
            <w:t xml:space="preserve"> </w:t>
          </w:r>
          <w:proofErr w:type="spellStart"/>
          <w:r>
            <w:rPr>
              <w:rFonts w:ascii="NikoshBAN" w:hAnsi="NikoshBAN" w:cs="NikoshBAN"/>
              <w:sz w:val="18"/>
            </w:rPr>
            <w:t>তলা</w:t>
          </w:r>
          <w:proofErr w:type="spellEnd"/>
          <w:r>
            <w:rPr>
              <w:rFonts w:ascii="NikoshBAN" w:hAnsi="NikoshBAN" w:cs="NikoshBAN"/>
              <w:sz w:val="18"/>
            </w:rPr>
            <w:t xml:space="preserve">), </w:t>
          </w:r>
          <w:r>
            <w:rPr>
              <w:rFonts w:ascii="NikoshBAN" w:hAnsi="NikoshBAN" w:cs="NikoshBAN"/>
              <w:sz w:val="18"/>
            </w:rPr>
            <w:t>৭</w:t>
          </w:r>
          <w:r>
            <w:rPr>
              <w:rFonts w:ascii="NikoshBAN" w:hAnsi="NikoshBAN" w:cs="NikoshBAN"/>
              <w:sz w:val="18"/>
            </w:rPr>
            <w:t>-</w:t>
          </w:r>
          <w:r>
            <w:rPr>
              <w:rFonts w:ascii="NikoshBAN" w:hAnsi="NikoshBAN" w:cs="NikoshBAN"/>
              <w:sz w:val="18"/>
            </w:rPr>
            <w:t>৯</w:t>
          </w:r>
          <w:r>
            <w:rPr>
              <w:rFonts w:ascii="NikoshBAN" w:hAnsi="NikoshBAN" w:cs="NikoshBAN"/>
              <w:sz w:val="18"/>
            </w:rPr>
            <w:t xml:space="preserve"> </w:t>
          </w:r>
          <w:proofErr w:type="spellStart"/>
          <w:r>
            <w:rPr>
              <w:rFonts w:ascii="NikoshBAN" w:hAnsi="NikoshBAN" w:cs="NikoshBAN"/>
              <w:sz w:val="18"/>
            </w:rPr>
            <w:t>কারওয়ান</w:t>
          </w:r>
          <w:proofErr w:type="spellEnd"/>
          <w:r>
            <w:rPr>
              <w:rFonts w:ascii="NikoshBAN" w:hAnsi="NikoshBAN" w:cs="NikoshBAN"/>
              <w:sz w:val="18"/>
            </w:rPr>
            <w:t xml:space="preserve"> </w:t>
          </w:r>
          <w:proofErr w:type="spellStart"/>
          <w:r>
            <w:rPr>
              <w:rFonts w:ascii="NikoshBAN" w:hAnsi="NikoshBAN" w:cs="NikoshBAN"/>
              <w:sz w:val="18"/>
            </w:rPr>
            <w:t>বাজার</w:t>
          </w:r>
          <w:proofErr w:type="spellEnd"/>
          <w:r>
            <w:rPr>
              <w:rFonts w:ascii="NikoshBAN" w:hAnsi="NikoshBAN" w:cs="NikoshBAN"/>
              <w:sz w:val="18"/>
            </w:rPr>
            <w:t xml:space="preserve">, </w:t>
          </w:r>
          <w:r>
            <w:rPr>
              <w:rFonts w:ascii="NikoshBAN" w:hAnsi="NikoshBAN" w:cs="NikoshBAN"/>
              <w:sz w:val="18"/>
            </w:rPr>
            <w:t>ঢাকা</w:t>
          </w:r>
          <w:r>
            <w:rPr>
              <w:rFonts w:ascii="NikoshBAN" w:hAnsi="NikoshBAN" w:cs="NikoshBAN"/>
              <w:sz w:val="18"/>
            </w:rPr>
            <w:t>-</w:t>
          </w:r>
          <w:r>
            <w:rPr>
              <w:rFonts w:ascii="NikoshBAN" w:hAnsi="NikoshBAN" w:cs="NikoshBAN"/>
              <w:sz w:val="18"/>
            </w:rPr>
            <w:t>১২১৫</w:t>
          </w:r>
        </w:p>
        <w:p w:rsidR="00DA51D5" w:rsidRDefault="0032599E" w:rsidP="006163BD">
          <w:pPr>
            <w:jc w:val="center"/>
            <w:rPr>
              <w:rFonts w:ascii="NikoshBAN" w:hAnsi="NikoshBAN" w:cs="NikoshBAN"/>
              <w:sz w:val="20"/>
              <w:szCs w:val="20"/>
            </w:rPr>
          </w:pPr>
          <w:proofErr w:type="spellStart"/>
          <w:r>
            <w:rPr>
              <w:rFonts w:ascii="NikoshBAN" w:hAnsi="NikoshBAN" w:cs="NikoshBAN"/>
              <w:sz w:val="20"/>
              <w:szCs w:val="20"/>
            </w:rPr>
            <w:t>পিএবিএক্স</w:t>
          </w:r>
          <w:proofErr w:type="spellEnd"/>
          <w:r>
            <w:rPr>
              <w:rFonts w:ascii="NikoshBAN" w:hAnsi="NikoshBAN" w:cs="NikoshBAN"/>
              <w:sz w:val="20"/>
              <w:szCs w:val="20"/>
            </w:rPr>
            <w:t xml:space="preserve"> </w:t>
          </w:r>
          <w:proofErr w:type="spellStart"/>
          <w:r>
            <w:rPr>
              <w:rFonts w:ascii="NikoshBAN" w:hAnsi="NikoshBAN" w:cs="NikoshBAN"/>
              <w:sz w:val="20"/>
              <w:szCs w:val="20"/>
            </w:rPr>
            <w:t>নম্বর</w:t>
          </w:r>
          <w:proofErr w:type="spellEnd"/>
          <w:r>
            <w:rPr>
              <w:rFonts w:ascii="NikoshBAN" w:hAnsi="NikoshBAN" w:cs="NikoshBAN"/>
              <w:sz w:val="20"/>
              <w:szCs w:val="20"/>
            </w:rPr>
            <w:t xml:space="preserve">: 55013726-28; </w:t>
          </w:r>
          <w:proofErr w:type="spellStart"/>
          <w:r>
            <w:rPr>
              <w:rFonts w:ascii="NikoshBAN" w:hAnsi="NikoshBAN" w:cs="NikoshBAN"/>
              <w:sz w:val="20"/>
              <w:szCs w:val="20"/>
            </w:rPr>
            <w:t>হেল্প</w:t>
          </w:r>
          <w:proofErr w:type="spellEnd"/>
          <w:r>
            <w:rPr>
              <w:rFonts w:ascii="NikoshBAN" w:hAnsi="NikoshBAN" w:cs="NikoshBAN"/>
              <w:sz w:val="20"/>
              <w:szCs w:val="20"/>
            </w:rPr>
            <w:t xml:space="preserve"> </w:t>
          </w:r>
          <w:proofErr w:type="spellStart"/>
          <w:r>
            <w:rPr>
              <w:rFonts w:ascii="NikoshBAN" w:hAnsi="NikoshBAN" w:cs="NikoshBAN"/>
              <w:sz w:val="20"/>
              <w:szCs w:val="20"/>
            </w:rPr>
            <w:t>লাইন</w:t>
          </w:r>
          <w:proofErr w:type="spellEnd"/>
          <w:r>
            <w:rPr>
              <w:rFonts w:ascii="NikoshBAN" w:hAnsi="NikoshBAN" w:cs="NikoshBAN"/>
              <w:sz w:val="20"/>
              <w:szCs w:val="20"/>
            </w:rPr>
            <w:t xml:space="preserve"> </w:t>
          </w:r>
          <w:proofErr w:type="spellStart"/>
          <w:r>
            <w:rPr>
              <w:rFonts w:ascii="NikoshBAN" w:hAnsi="NikoshBAN" w:cs="NikoshBAN"/>
              <w:sz w:val="20"/>
              <w:szCs w:val="20"/>
            </w:rPr>
            <w:t>নম্বর</w:t>
          </w:r>
          <w:proofErr w:type="spellEnd"/>
          <w:r>
            <w:rPr>
              <w:rFonts w:ascii="NikoshBAN" w:hAnsi="NikoshBAN" w:cs="NikoshBAN"/>
              <w:sz w:val="20"/>
              <w:szCs w:val="20"/>
            </w:rPr>
            <w:t>: 16108</w:t>
          </w:r>
        </w:p>
        <w:p w:rsidR="00DA51D5" w:rsidRDefault="0032599E" w:rsidP="006163BD">
          <w:pPr>
            <w:tabs>
              <w:tab w:val="center" w:pos="4680"/>
              <w:tab w:val="right" w:pos="9360"/>
            </w:tabs>
            <w:jc w:val="center"/>
          </w:pPr>
          <w:proofErr w:type="spellStart"/>
          <w:r>
            <w:rPr>
              <w:rFonts w:ascii="NikoshBAN" w:hAnsi="NikoshBAN" w:cs="NikoshBAN"/>
              <w:sz w:val="18"/>
              <w:szCs w:val="20"/>
            </w:rPr>
            <w:t>ওয়েবসাইট</w:t>
          </w:r>
          <w:proofErr w:type="spellEnd"/>
          <w:r>
            <w:rPr>
              <w:rFonts w:ascii="SutonnyMJ" w:hAnsi="SutonnyMJ" w:cs="SutonnyMJ"/>
              <w:sz w:val="18"/>
              <w:szCs w:val="20"/>
            </w:rPr>
            <w:t xml:space="preserve">- </w:t>
          </w:r>
          <w:hyperlink r:id="rId2" w:history="1">
            <w:r>
              <w:rPr>
                <w:rStyle w:val="Hyperlink"/>
                <w:sz w:val="18"/>
                <w:szCs w:val="20"/>
              </w:rPr>
              <w:t>www.nhrc.org.bd</w:t>
            </w:r>
          </w:hyperlink>
          <w:r>
            <w:rPr>
              <w:sz w:val="18"/>
              <w:szCs w:val="20"/>
            </w:rPr>
            <w:t xml:space="preserve">, </w:t>
          </w:r>
          <w:r>
            <w:rPr>
              <w:rFonts w:ascii="NikoshBAN" w:hAnsi="NikoshBAN" w:cs="NikoshBAN"/>
              <w:sz w:val="18"/>
              <w:szCs w:val="20"/>
            </w:rPr>
            <w:t>ই</w:t>
          </w:r>
          <w:r>
            <w:rPr>
              <w:rFonts w:ascii="NikoshBAN" w:hAnsi="NikoshBAN" w:cs="NikoshBAN"/>
              <w:sz w:val="18"/>
              <w:szCs w:val="20"/>
            </w:rPr>
            <w:t>-</w:t>
          </w:r>
          <w:proofErr w:type="spellStart"/>
          <w:r>
            <w:rPr>
              <w:rFonts w:ascii="NikoshBAN" w:hAnsi="NikoshBAN" w:cs="NikoshBAN"/>
              <w:sz w:val="18"/>
              <w:szCs w:val="20"/>
            </w:rPr>
            <w:t>মেইল</w:t>
          </w:r>
          <w:r>
            <w:rPr>
              <w:rFonts w:ascii="SutonnyMJ" w:hAnsi="SutonnyMJ"/>
              <w:sz w:val="18"/>
              <w:szCs w:val="20"/>
            </w:rPr>
            <w:t>t</w:t>
          </w:r>
          <w:proofErr w:type="spellEnd"/>
          <w:r>
            <w:rPr>
              <w:rFonts w:ascii="SutonnyMJ" w:hAnsi="SutonnyMJ"/>
              <w:sz w:val="18"/>
              <w:szCs w:val="20"/>
            </w:rPr>
            <w:t xml:space="preserve"> </w:t>
          </w:r>
          <w:hyperlink r:id="rId3" w:history="1">
            <w:r>
              <w:rPr>
                <w:rStyle w:val="Hyperlink"/>
                <w:sz w:val="18"/>
                <w:szCs w:val="20"/>
              </w:rPr>
              <w:t>info@nhrc.org.bd</w:t>
            </w:r>
          </w:hyperlink>
        </w:p>
      </w:tc>
      <w:tc>
        <w:tcPr>
          <w:tcW w:w="2634" w:type="dxa"/>
          <w:hideMark/>
        </w:tcPr>
        <w:p w:rsidR="00DA51D5" w:rsidRDefault="0032599E" w:rsidP="006163BD">
          <w:pPr>
            <w:tabs>
              <w:tab w:val="center" w:pos="4680"/>
              <w:tab w:val="right" w:pos="9360"/>
            </w:tabs>
            <w:jc w:val="center"/>
          </w:pPr>
          <w:r>
            <w:rPr>
              <w:noProof/>
            </w:rPr>
            <w:drawing>
              <wp:inline distT="0" distB="0" distL="0" distR="0" wp14:anchorId="1A6A0819" wp14:editId="70C574C8">
                <wp:extent cx="1321435" cy="922020"/>
                <wp:effectExtent l="0" t="0" r="0" b="0"/>
                <wp:docPr id="2" name="Picture 2" descr="Description: C:\Users\Secretary\Desktop\January 2020\মুজিব বর্ষ\মুজিব বর্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Secretary\Desktop\January 2020\মুজিব বর্ষ\মুজিব বর্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51D5" w:rsidRDefault="00325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5"/>
    <w:rsid w:val="00007C15"/>
    <w:rsid w:val="0032599E"/>
    <w:rsid w:val="005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59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9E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25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59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9E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25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hrc.org.bd" TargetMode="External"/><Relationship Id="rId2" Type="http://schemas.openxmlformats.org/officeDocument/2006/relationships/hyperlink" Target="http://www.nhrc.org.bd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2020-05-01T10:43:00Z</dcterms:created>
  <dcterms:modified xsi:type="dcterms:W3CDTF">2020-05-01T10:44:00Z</dcterms:modified>
</cp:coreProperties>
</file>